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E17EB"/>
        </w:rPr>
        <w:t>BANDPAY</w:t>
      </w:r>
    </w:p>
    <w:p>
      <w:pPr>
        <w:spacing w:after="120"/>
      </w:pPr>
      <w:r>
        <w:rPr>
          <w:b/>
          <w:color w:val="111827"/>
          <w:sz w:val="26"/>
        </w:rPr>
        <w:t>Escala de Usabilidad del Sistema (SUS)</w:t>
      </w:r>
      <w:r>
        <w:rPr>
          <w:color w:val="6B7280"/>
          <w:sz w:val="20"/>
        </w:rPr>
        <w:t xml:space="preserve">  |  Cuestionario posterior a la prueba</w:t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0" w:type="dxa"/>
      </w:tblPr>
      <w:tblGrid>
        <w:gridCol w:w="10656"/>
      </w:tblGrid>
      <w:tr>
        <w:tc>
          <w:tcPr>
            <w:tcW w:type="dxa" w:w="10656"/>
            <w:shd w:fill="EFE9FE"/>
            <w:tcBorders>
              <w:top w:val="single" w:sz="6" w:color="EFE9FE"/>
              <w:left w:val="single" w:sz="6" w:color="EFE9FE"/>
              <w:bottom w:val="single" w:sz="6" w:color="EFE9FE"/>
              <w:right w:val="single" w:sz="6" w:color="EFE9FE"/>
              <w:insideH w:val="single" w:sz="6" w:color="EFE9FE"/>
              <w:insideV w:val="single" w:sz="6" w:color="EFE9FE"/>
            </w:tcBorders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Instrucciones: marque una sola respuesta por afirmación según su experiencia global con Bandpay. Responda de forma espontánea después de completar las tareas de prueba. No hay respuestas correctas o incorrectas.</w:t>
            </w:r>
          </w:p>
        </w:tc>
      </w:tr>
    </w:tbl>
    <w:p>
      <w:pPr>
        <w:spacing w:after="80"/>
      </w:pPr>
      <w:r>
        <w:rPr>
          <w:rFonts w:ascii="Aptos" w:hAnsi="Aptos"/>
          <w:color w:val="111827"/>
          <w:sz w:val="18"/>
        </w:rPr>
        <w:t xml:space="preserve">Código del participante: _____________   </w:t>
      </w:r>
      <w:r>
        <w:rPr>
          <w:rFonts w:ascii="Aptos" w:hAnsi="Aptos"/>
          <w:color w:val="111827"/>
          <w:sz w:val="18"/>
        </w:rPr>
        <w:t xml:space="preserve">Fecha: _________   </w:t>
      </w:r>
    </w:p>
    <w:p>
      <w:pPr>
        <w:spacing w:after="80"/>
      </w:pPr>
      <w:r>
        <w:rPr>
          <w:rFonts w:ascii="Aptos" w:hAnsi="Aptos"/>
          <w:color w:val="111827"/>
          <w:sz w:val="18"/>
        </w:rPr>
        <w:t xml:space="preserve">Rol:  ☐ Administrador  ☐ Músico  ☐ Otro: ___________   </w:t>
      </w:r>
      <w:r>
        <w:rPr>
          <w:rFonts w:ascii="Aptos" w:hAnsi="Aptos"/>
          <w:color w:val="111827"/>
          <w:sz w:val="18"/>
        </w:rPr>
        <w:t xml:space="preserve">Dispositivo: _________   </w:t>
      </w:r>
    </w:p>
    <w:p>
      <w:pPr>
        <w:spacing w:after="80"/>
      </w:pPr>
      <w:r>
        <w:rPr>
          <w:rFonts w:ascii="Aptos" w:hAnsi="Aptos"/>
          <w:color w:val="111827"/>
          <w:sz w:val="18"/>
        </w:rPr>
        <w:t xml:space="preserve">Experiencia previa con Bandpay:  ☐ Ninguna  ☐ Ocasional  ☐ Frecuente _   </w:t>
      </w:r>
    </w:p>
    <w:p>
      <w:pPr>
        <w:spacing w:before="40" w:after="80"/>
      </w:pPr>
      <w:r>
        <w:rPr>
          <w:b/>
          <w:sz w:val="18"/>
        </w:rPr>
        <w:t xml:space="preserve">Escala:  </w:t>
      </w:r>
      <w:r>
        <w:rPr>
          <w:sz w:val="17"/>
        </w:rPr>
        <w:t>1 = Totalmente en desacuerdo   ·   2 = En desacuerdo   ·   3 = Neutral   ·   4 = De acuerdo   ·   5 = Totalmente de acuerdo</w:t>
      </w:r>
    </w:p>
    <w:tbl>
      <w:tblPr>
        <w:tblW w:type="dxa" w:w="1065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848"/>
        <w:gridCol w:w="561"/>
        <w:gridCol w:w="561"/>
        <w:gridCol w:w="561"/>
        <w:gridCol w:w="561"/>
        <w:gridCol w:w="561"/>
      </w:tblGrid>
      <w:tr>
        <w:trPr>
          <w:tblHeader w:val="true"/>
        </w:trPr>
        <w:tc>
          <w:tcPr>
            <w:tcW w:type="dxa" w:w="7848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Afirmación</w:t>
            </w:r>
          </w:p>
        </w:tc>
        <w:tc>
          <w:tcPr>
            <w:tcW w:type="dxa" w:w="561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type="dxa" w:w="561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</w:t>
            </w:r>
          </w:p>
        </w:tc>
        <w:tc>
          <w:tcPr>
            <w:tcW w:type="dxa" w:w="561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3</w:t>
            </w:r>
          </w:p>
        </w:tc>
        <w:tc>
          <w:tcPr>
            <w:tcW w:type="dxa" w:w="561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4</w:t>
            </w:r>
          </w:p>
        </w:tc>
        <w:tc>
          <w:tcPr>
            <w:tcW w:type="dxa" w:w="561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784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1. Creo que me gustaría utilizar la aplicación Bandpay con frecuencia.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  <w:tr>
        <w:tc>
          <w:tcPr>
            <w:tcW w:type="dxa" w:w="784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2. Considero que la aplicación Bandpay es innecesariamente compleja.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  <w:tr>
        <w:tc>
          <w:tcPr>
            <w:tcW w:type="dxa" w:w="784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3. Creo que la aplicación Bandpay es fácil de usar.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  <w:tr>
        <w:tc>
          <w:tcPr>
            <w:tcW w:type="dxa" w:w="784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4. Creo que necesitaría el apoyo de una persona con conocimientos técnicos para poder usar Bandpay.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  <w:tr>
        <w:tc>
          <w:tcPr>
            <w:tcW w:type="dxa" w:w="784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5. Considero que las diversas funciones de Bandpay están bien integradas.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  <w:tr>
        <w:tc>
          <w:tcPr>
            <w:tcW w:type="dxa" w:w="784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6. Creo que hay demasiadas inconsistencias en Bandpay.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  <w:tr>
        <w:tc>
          <w:tcPr>
            <w:tcW w:type="dxa" w:w="784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7. Imagino que la mayoría de las personas aprendería a usar Bandpay muy rápidamente.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  <w:tr>
        <w:tc>
          <w:tcPr>
            <w:tcW w:type="dxa" w:w="784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8. Encuentro que Bandpay es muy engorrosa de usar.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  <w:tr>
        <w:tc>
          <w:tcPr>
            <w:tcW w:type="dxa" w:w="784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9. Me siento muy seguro(a) usando Bandpay.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  <w:tr>
        <w:tc>
          <w:tcPr>
            <w:tcW w:type="dxa" w:w="784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10. Necesité aprender muchas cosas antes de poder comenzar a usar Bandpay.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  <w:tc>
          <w:tcPr>
            <w:tcW w:type="dxa" w:w="561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3B079D"/>
                <w:sz w:val="26"/>
              </w:rPr>
              <w:t>○</w:t>
            </w:r>
          </w:p>
        </w:tc>
      </w:tr>
    </w:tbl>
    <w:p>
      <w:pPr>
        <w:spacing w:before="100" w:after="40"/>
      </w:pPr>
      <w:r>
        <w:rPr>
          <w:b/>
          <w:sz w:val="17"/>
        </w:rPr>
        <w:t xml:space="preserve">Comentario opcional: </w:t>
      </w:r>
      <w:r>
        <w:rPr>
          <w:sz w:val="17"/>
        </w:rPr>
        <w:t>¿Qué fue lo más fácil o difícil al usar Bandpay?</w:t>
      </w:r>
    </w:p>
    <w:p>
      <w:pPr>
        <w:spacing w:after="0"/>
      </w:pPr>
      <w:r>
        <w:rPr>
          <w:color w:val="D8DCE6"/>
          <w:sz w:val="16"/>
        </w:rPr>
        <w:t>____________________________________________________________________________________________________________________</w:t>
      </w:r>
    </w:p>
    <w:p>
      <w:pPr>
        <w:spacing w:after="0"/>
      </w:pPr>
      <w:r>
        <w:rPr>
          <w:color w:val="D8DCE6"/>
          <w:sz w:val="16"/>
        </w:rPr>
        <w:t>____________________________________________________________________________________________________________________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rPr>
          <w:color w:val="3B079D"/>
        </w:rPr>
        <w:t>Hoja de puntuación SUS</w:t>
      </w:r>
    </w:p>
    <w:p>
      <w:pPr>
        <w:spacing w:after="160"/>
      </w:pPr>
      <w:r>
        <w:rPr>
          <w:i/>
          <w:color w:val="6B7280"/>
        </w:rPr>
        <w:t>Uso exclusivo del equipo evaluador · No entregar al participante</w:t>
      </w:r>
    </w:p>
    <w:p>
      <w:pPr>
        <w:pStyle w:val="Heading1"/>
      </w:pPr>
      <w:r>
        <w:t>1. Cálculo</w:t>
      </w:r>
    </w:p>
    <w:p>
      <w:pPr>
        <w:spacing w:after="80"/>
        <w:ind w:left="173"/>
      </w:pPr>
      <w:r>
        <w:rPr>
          <w:b/>
          <w:color w:val="5E17EB"/>
        </w:rPr>
        <w:t xml:space="preserve">1. </w:t>
      </w:r>
      <w:r>
        <w:t>Ítems impares (1, 3, 5, 7 y 9): contribución = respuesta - 1.</w:t>
      </w:r>
    </w:p>
    <w:p>
      <w:pPr>
        <w:spacing w:after="80"/>
        <w:ind w:left="173"/>
      </w:pPr>
      <w:r>
        <w:rPr>
          <w:b/>
          <w:color w:val="5E17EB"/>
        </w:rPr>
        <w:t xml:space="preserve">2. </w:t>
      </w:r>
      <w:r>
        <w:t>Ítems pares (2, 4, 6, 8 y 10): contribución = 5 - respuesta.</w:t>
      </w:r>
    </w:p>
    <w:p>
      <w:pPr>
        <w:spacing w:after="80"/>
        <w:ind w:left="173"/>
      </w:pPr>
      <w:r>
        <w:rPr>
          <w:b/>
          <w:color w:val="5E17EB"/>
        </w:rPr>
        <w:t xml:space="preserve">3. </w:t>
      </w:r>
      <w:r>
        <w:t>Sume las 10 contribuciones y multiplique el total por 2,5. Resultado final: 0 a 100.</w:t>
      </w:r>
    </w:p>
    <w:tbl>
      <w:tblPr>
        <w:tblW w:type="dxa" w:w="10584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792"/>
        <w:gridCol w:w="5328"/>
        <w:gridCol w:w="1655"/>
        <w:gridCol w:w="2808"/>
      </w:tblGrid>
      <w:tr>
        <w:tc>
          <w:tcPr>
            <w:tcW w:type="dxa" w:w="792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Ítem</w:t>
            </w:r>
          </w:p>
        </w:tc>
        <w:tc>
          <w:tcPr>
            <w:tcW w:type="dxa" w:w="5328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1655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Respuesta</w:t>
            </w:r>
          </w:p>
        </w:tc>
        <w:tc>
          <w:tcPr>
            <w:tcW w:type="dxa" w:w="2808"/>
            <w:vAlign w:val="center"/>
            <w:shd w:fill="5E17EB"/>
            <w:tcBorders>
              <w:top w:val="single" w:sz="6" w:color="5E17EB"/>
              <w:left w:val="single" w:sz="6" w:color="5E17EB"/>
              <w:bottom w:val="single" w:sz="6" w:color="5E17EB"/>
              <w:right w:val="single" w:sz="6" w:color="5E17EB"/>
              <w:insideH w:val="single" w:sz="6" w:color="5E17EB"/>
              <w:insideV w:val="single" w:sz="6" w:color="5E17EB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Contribución (0-4)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Respuesta - 1</w:t>
            </w:r>
          </w:p>
        </w:tc>
        <w:tc>
          <w:tcPr>
            <w:tcW w:type="dxa" w:w="1655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  <w:tr>
        <w:tc>
          <w:tcPr>
            <w:tcW w:type="dxa" w:w="792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532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5 - respuesta</w:t>
            </w:r>
          </w:p>
        </w:tc>
        <w:tc>
          <w:tcPr>
            <w:tcW w:type="dxa" w:w="1655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Respuesta - 1</w:t>
            </w:r>
          </w:p>
        </w:tc>
        <w:tc>
          <w:tcPr>
            <w:tcW w:type="dxa" w:w="1655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  <w:tr>
        <w:tc>
          <w:tcPr>
            <w:tcW w:type="dxa" w:w="792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532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5 - respuesta</w:t>
            </w:r>
          </w:p>
        </w:tc>
        <w:tc>
          <w:tcPr>
            <w:tcW w:type="dxa" w:w="1655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Respuesta - 1</w:t>
            </w:r>
          </w:p>
        </w:tc>
        <w:tc>
          <w:tcPr>
            <w:tcW w:type="dxa" w:w="1655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  <w:tr>
        <w:tc>
          <w:tcPr>
            <w:tcW w:type="dxa" w:w="792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532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5 - respuesta</w:t>
            </w:r>
          </w:p>
        </w:tc>
        <w:tc>
          <w:tcPr>
            <w:tcW w:type="dxa" w:w="1655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7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Respuesta - 1</w:t>
            </w:r>
          </w:p>
        </w:tc>
        <w:tc>
          <w:tcPr>
            <w:tcW w:type="dxa" w:w="1655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  <w:tr>
        <w:tc>
          <w:tcPr>
            <w:tcW w:type="dxa" w:w="792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8</w:t>
            </w:r>
          </w:p>
        </w:tc>
        <w:tc>
          <w:tcPr>
            <w:tcW w:type="dxa" w:w="532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5 - respuesta</w:t>
            </w:r>
          </w:p>
        </w:tc>
        <w:tc>
          <w:tcPr>
            <w:tcW w:type="dxa" w:w="1655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Respuesta - 1</w:t>
            </w:r>
          </w:p>
        </w:tc>
        <w:tc>
          <w:tcPr>
            <w:tcW w:type="dxa" w:w="1655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  <w:tr>
        <w:tc>
          <w:tcPr>
            <w:tcW w:type="dxa" w:w="792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532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5 - respuesta</w:t>
            </w:r>
          </w:p>
        </w:tc>
        <w:tc>
          <w:tcPr>
            <w:tcW w:type="dxa" w:w="1655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  <w:tc>
          <w:tcPr>
            <w:tcW w:type="dxa" w:w="2808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______</w:t>
            </w:r>
          </w:p>
        </w:tc>
      </w:tr>
    </w:tbl>
    <w:tbl>
      <w:tblPr>
        <w:tblW w:type="dxa" w:w="10656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232"/>
        <w:gridCol w:w="2376"/>
        <w:gridCol w:w="2232"/>
        <w:gridCol w:w="3816"/>
      </w:tblGrid>
      <w:tr>
        <w:tc>
          <w:tcPr>
            <w:tcW w:type="dxa" w:w="2232"/>
            <w:vAlign w:val="center"/>
            <w:shd w:fill="3B079D"/>
            <w:tcBorders>
              <w:top w:val="single" w:sz="6" w:color="3B079D"/>
              <w:left w:val="single" w:sz="6" w:color="3B079D"/>
              <w:bottom w:val="single" w:sz="6" w:color="3B079D"/>
              <w:right w:val="single" w:sz="6" w:color="3B079D"/>
              <w:insideH w:val="single" w:sz="6" w:color="3B079D"/>
              <w:insideV w:val="single" w:sz="6" w:color="3B079D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Suma (0-40)</w:t>
            </w:r>
          </w:p>
        </w:tc>
        <w:tc>
          <w:tcPr>
            <w:tcW w:type="dxa" w:w="2376"/>
            <w:vAlign w:val="center"/>
            <w:shd w:fill="3B079D"/>
            <w:tcBorders>
              <w:top w:val="single" w:sz="6" w:color="3B079D"/>
              <w:left w:val="single" w:sz="6" w:color="3B079D"/>
              <w:bottom w:val="single" w:sz="6" w:color="3B079D"/>
              <w:right w:val="single" w:sz="6" w:color="3B079D"/>
              <w:insideH w:val="single" w:sz="6" w:color="3B079D"/>
              <w:insideV w:val="single" w:sz="6" w:color="3B079D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× 2,5</w:t>
            </w:r>
          </w:p>
        </w:tc>
        <w:tc>
          <w:tcPr>
            <w:tcW w:type="dxa" w:w="2232"/>
            <w:vAlign w:val="center"/>
            <w:shd w:fill="3B079D"/>
            <w:tcBorders>
              <w:top w:val="single" w:sz="6" w:color="3B079D"/>
              <w:left w:val="single" w:sz="6" w:color="3B079D"/>
              <w:bottom w:val="single" w:sz="6" w:color="3B079D"/>
              <w:right w:val="single" w:sz="6" w:color="3B079D"/>
              <w:insideH w:val="single" w:sz="6" w:color="3B079D"/>
              <w:insideV w:val="single" w:sz="6" w:color="3B079D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Puntaje SUS</w:t>
            </w:r>
          </w:p>
        </w:tc>
        <w:tc>
          <w:tcPr>
            <w:tcW w:type="dxa" w:w="3816"/>
            <w:vAlign w:val="center"/>
            <w:shd w:fill="3B079D"/>
            <w:tcBorders>
              <w:top w:val="single" w:sz="6" w:color="3B079D"/>
              <w:left w:val="single" w:sz="6" w:color="3B079D"/>
              <w:bottom w:val="single" w:sz="6" w:color="3B079D"/>
              <w:right w:val="single" w:sz="6" w:color="3B079D"/>
              <w:insideH w:val="single" w:sz="6" w:color="3B079D"/>
              <w:insideV w:val="single" w:sz="6" w:color="3B079D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 participante</w:t>
            </w:r>
          </w:p>
        </w:tc>
      </w:tr>
      <w:tr>
        <w:tc>
          <w:tcPr>
            <w:tcW w:type="dxa" w:w="2232"/>
            <w:vAlign w:val="center"/>
            <w:shd w:fill="EFE9FE"/>
            <w:tcBorders>
              <w:top w:val="single" w:sz="6" w:color="EFE9FE"/>
              <w:left w:val="single" w:sz="6" w:color="EFE9FE"/>
              <w:bottom w:val="single" w:sz="6" w:color="EFE9FE"/>
              <w:right w:val="single" w:sz="6" w:color="EFE9FE"/>
              <w:insideH w:val="single" w:sz="6" w:color="EFE9FE"/>
              <w:insideV w:val="single" w:sz="6" w:color="EFE9FE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111827"/>
                <w:sz w:val="20"/>
              </w:rPr>
              <w:t>________</w:t>
            </w:r>
          </w:p>
        </w:tc>
        <w:tc>
          <w:tcPr>
            <w:tcW w:type="dxa" w:w="2376"/>
            <w:vAlign w:val="center"/>
            <w:shd w:fill="EFE9FE"/>
            <w:tcBorders>
              <w:top w:val="single" w:sz="6" w:color="EFE9FE"/>
              <w:left w:val="single" w:sz="6" w:color="EFE9FE"/>
              <w:bottom w:val="single" w:sz="6" w:color="EFE9FE"/>
              <w:right w:val="single" w:sz="6" w:color="EFE9FE"/>
              <w:insideH w:val="single" w:sz="6" w:color="EFE9FE"/>
              <w:insideV w:val="single" w:sz="6" w:color="EFE9FE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111827"/>
                <w:sz w:val="20"/>
              </w:rPr>
              <w:t>2,5</w:t>
            </w:r>
          </w:p>
        </w:tc>
        <w:tc>
          <w:tcPr>
            <w:tcW w:type="dxa" w:w="2232"/>
            <w:vAlign w:val="center"/>
            <w:shd w:fill="EFE9FE"/>
            <w:tcBorders>
              <w:top w:val="single" w:sz="6" w:color="EFE9FE"/>
              <w:left w:val="single" w:sz="6" w:color="EFE9FE"/>
              <w:bottom w:val="single" w:sz="6" w:color="EFE9FE"/>
              <w:right w:val="single" w:sz="6" w:color="EFE9FE"/>
              <w:insideH w:val="single" w:sz="6" w:color="EFE9FE"/>
              <w:insideV w:val="single" w:sz="6" w:color="EFE9FE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111827"/>
                <w:sz w:val="20"/>
              </w:rPr>
              <w:t>________ / 100</w:t>
            </w:r>
          </w:p>
        </w:tc>
        <w:tc>
          <w:tcPr>
            <w:tcW w:type="dxa" w:w="3816"/>
            <w:vAlign w:val="center"/>
            <w:shd w:fill="EFE9FE"/>
            <w:tcBorders>
              <w:top w:val="single" w:sz="6" w:color="EFE9FE"/>
              <w:left w:val="single" w:sz="6" w:color="EFE9FE"/>
              <w:bottom w:val="single" w:sz="6" w:color="EFE9FE"/>
              <w:right w:val="single" w:sz="6" w:color="EFE9FE"/>
              <w:insideH w:val="single" w:sz="6" w:color="EFE9FE"/>
              <w:insideV w:val="single" w:sz="6" w:color="EFE9FE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111827"/>
                <w:sz w:val="20"/>
              </w:rPr>
              <w:t>________________</w:t>
            </w:r>
          </w:p>
        </w:tc>
      </w:tr>
    </w:tbl>
    <w:p>
      <w:pPr>
        <w:pStyle w:val="Heading1"/>
      </w:pPr>
      <w:r>
        <w:t>2. Lectura del resultado</w:t>
      </w:r>
    </w:p>
    <w:p>
      <w:pPr>
        <w:spacing w:after="100"/>
      </w:pPr>
      <w:r>
        <w:t>El puntaje SUS no es un porcentaje de tareas completadas. Se interpreta comparándolo con resultados de referencia o con mediciones sucesivas del mismo producto. Como referencia general, 68 suele emplearse como promedio aproximado; esta guía es orientativa y no reemplaza el análisis de la muestra.</w:t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6B728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0–50</w:t>
            </w:r>
          </w:p>
        </w:tc>
        <w:tc>
          <w:tcPr>
            <w:tcW w:type="dxa" w:w="2664"/>
            <w:vAlign w:val="center"/>
            <w:shd w:fill="6B7280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51–67</w:t>
            </w:r>
          </w:p>
        </w:tc>
        <w:tc>
          <w:tcPr>
            <w:tcW w:type="dxa" w:w="2664"/>
            <w:vAlign w:val="center"/>
            <w:shd w:fill="5E17EB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68–80</w:t>
            </w:r>
          </w:p>
        </w:tc>
        <w:tc>
          <w:tcPr>
            <w:tcW w:type="dxa" w:w="2664"/>
            <w:vAlign w:val="center"/>
            <w:shd w:fill="5E17EB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81–100</w:t>
            </w:r>
          </w:p>
        </w:tc>
      </w:tr>
      <w:tr>
        <w:tc>
          <w:tcPr>
            <w:tcW w:type="dxa" w:w="2664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Usabilidad baja</w:t>
            </w:r>
          </w:p>
        </w:tc>
        <w:tc>
          <w:tcPr>
            <w:tcW w:type="dxa" w:w="2664"/>
            <w:vAlign w:val="center"/>
            <w:shd w:fill="F8F9FD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Requiere mejoras</w:t>
            </w:r>
          </w:p>
        </w:tc>
        <w:tc>
          <w:tcPr>
            <w:tcW w:type="dxa" w:w="2664"/>
            <w:vAlign w:val="center"/>
            <w:shd w:fill="EFE9FE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Aceptable / buena</w:t>
            </w:r>
          </w:p>
        </w:tc>
        <w:tc>
          <w:tcPr>
            <w:tcW w:type="dxa" w:w="2664"/>
            <w:vAlign w:val="center"/>
            <w:shd w:fill="EFE9FE"/>
            <w:tcBorders>
              <w:top w:val="single" w:sz="6" w:color="D8DCE6"/>
              <w:left w:val="single" w:sz="6" w:color="D8DCE6"/>
              <w:bottom w:val="single" w:sz="6" w:color="D8DCE6"/>
              <w:right w:val="single" w:sz="6" w:color="D8DCE6"/>
              <w:insideH w:val="single" w:sz="6" w:color="D8DCE6"/>
              <w:insideV w:val="single" w:sz="6" w:color="D8DCE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Muy buena / excelente</w:t>
            </w:r>
          </w:p>
        </w:tc>
      </w:tr>
    </w:tbl>
    <w:p>
      <w:pPr>
        <w:pStyle w:val="Heading1"/>
      </w:pPr>
      <w:r>
        <w:t>3. Registro de la sesión</w:t>
      </w:r>
    </w:p>
    <w:p>
      <w:pPr>
        <w:spacing w:after="80"/>
      </w:pPr>
      <w:r>
        <w:rPr>
          <w:rFonts w:ascii="Aptos" w:hAnsi="Aptos"/>
          <w:color w:val="111827"/>
          <w:sz w:val="18"/>
        </w:rPr>
        <w:t xml:space="preserve">Tareas completadas: ________   </w:t>
      </w:r>
      <w:r>
        <w:rPr>
          <w:rFonts w:ascii="Aptos" w:hAnsi="Aptos"/>
          <w:color w:val="111827"/>
          <w:sz w:val="18"/>
        </w:rPr>
        <w:t xml:space="preserve">de: ____   </w:t>
      </w:r>
      <w:r>
        <w:rPr>
          <w:rFonts w:ascii="Aptos" w:hAnsi="Aptos"/>
          <w:color w:val="111827"/>
          <w:sz w:val="18"/>
        </w:rPr>
        <w:t xml:space="preserve">Duración: _______   </w:t>
      </w:r>
      <w:r>
        <w:rPr>
          <w:rFonts w:ascii="Aptos" w:hAnsi="Aptos"/>
          <w:color w:val="111827"/>
          <w:sz w:val="18"/>
        </w:rPr>
        <w:t xml:space="preserve">min    </w:t>
      </w:r>
    </w:p>
    <w:p>
      <w:pPr>
        <w:spacing w:after="80"/>
      </w:pPr>
      <w:r>
        <w:rPr>
          <w:rFonts w:ascii="Aptos" w:hAnsi="Aptos"/>
          <w:color w:val="111827"/>
          <w:sz w:val="18"/>
        </w:rPr>
        <w:t xml:space="preserve">Incidencias observadas: __________________________________________________________   </w:t>
      </w:r>
    </w:p>
    <w:p>
      <w:pPr>
        <w:spacing w:after="80"/>
      </w:pPr>
      <w:r>
        <w:rPr>
          <w:rFonts w:ascii="Aptos" w:hAnsi="Aptos"/>
          <w:color w:val="111827"/>
          <w:sz w:val="18"/>
        </w:rPr>
        <w:t xml:space="preserve">Hallazgo prioritario: ______________________________________________________________   </w:t>
      </w:r>
    </w:p>
    <w:p>
      <w:pPr>
        <w:spacing w:after="80"/>
      </w:pPr>
      <w:r>
        <w:rPr>
          <w:rFonts w:ascii="Aptos" w:hAnsi="Aptos"/>
          <w:color w:val="111827"/>
          <w:sz w:val="18"/>
        </w:rPr>
        <w:t xml:space="preserve">Acción recomendada: ______________________________________________________________   </w:t>
      </w:r>
    </w:p>
    <w:p>
      <w:pPr>
        <w:spacing w:before="160" w:after="0"/>
      </w:pPr>
      <w:r>
        <w:rPr>
          <w:b/>
          <w:color w:val="3B079D"/>
          <w:sz w:val="16"/>
        </w:rPr>
        <w:t xml:space="preserve">Nota metodológica. </w:t>
      </w:r>
      <w:r>
        <w:rPr>
          <w:color w:val="6B7280"/>
          <w:sz w:val="16"/>
        </w:rPr>
        <w:t>Aplicar inmediatamente después de que cada participante complete el mismo conjunto de tareas representativas (por ejemplo: iniciar sesión, revisar un compromiso, consultar un pago y gestionar una notificación). No explicar los ítems durante la respuesta.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3B07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B079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3B079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SUS de Bandpay</dc:title>
  <dc:subject>Instrumento de evaluación de usabilidad listo para aplicación</dc:subject>
  <dc:creator>Equipo de evaluación de Bandpay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