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D22" w:rsidRPr="00CA4D22" w:rsidRDefault="00CA4D22" w:rsidP="00CA4D22">
      <w:pPr>
        <w:spacing w:before="100" w:beforeAutospacing="1" w:after="100" w:afterAutospacing="1" w:line="240" w:lineRule="auto"/>
        <w:jc w:val="center"/>
        <w:rPr>
          <w:rFonts w:ascii="Times New Roman" w:eastAsia="Times New Roman" w:hAnsi="Times New Roman" w:cs="Times New Roman"/>
          <w:b/>
          <w:bCs/>
          <w:sz w:val="24"/>
          <w:szCs w:val="24"/>
          <w:u w:val="single"/>
        </w:rPr>
      </w:pPr>
      <w:r w:rsidRPr="00CA4D22">
        <w:rPr>
          <w:rFonts w:ascii="Times New Roman" w:eastAsia="Times New Roman" w:hAnsi="Times New Roman" w:cs="Times New Roman"/>
          <w:b/>
          <w:bCs/>
          <w:sz w:val="24"/>
          <w:szCs w:val="24"/>
          <w:u w:val="single"/>
        </w:rPr>
        <w:t>CONTESTA TRASLADO SE OPONE A LA IMPUGNACIÓN</w:t>
      </w:r>
    </w:p>
    <w:p w:rsidR="00F226FF" w:rsidRPr="00F226FF" w:rsidRDefault="00F226FF" w:rsidP="00F226FF">
      <w:pPr>
        <w:spacing w:before="100" w:beforeAutospacing="1" w:after="100" w:afterAutospacing="1" w:line="240" w:lineRule="auto"/>
        <w:rPr>
          <w:rFonts w:ascii="Times New Roman" w:eastAsia="Times New Roman" w:hAnsi="Times New Roman" w:cs="Times New Roman"/>
          <w:sz w:val="24"/>
          <w:szCs w:val="24"/>
        </w:rPr>
      </w:pPr>
      <w:r w:rsidRPr="00F226FF">
        <w:rPr>
          <w:rFonts w:ascii="Times New Roman" w:eastAsia="Times New Roman" w:hAnsi="Times New Roman" w:cs="Times New Roman"/>
          <w:b/>
          <w:bCs/>
          <w:sz w:val="24"/>
          <w:szCs w:val="24"/>
        </w:rPr>
        <w:t>Señor Juez:</w:t>
      </w:r>
    </w:p>
    <w:p w:rsidR="00F226FF" w:rsidRPr="00F226FF" w:rsidRDefault="00F226FF" w:rsidP="00F226FF">
      <w:pPr>
        <w:spacing w:before="100" w:beforeAutospacing="1" w:after="100" w:afterAutospacing="1" w:line="240" w:lineRule="auto"/>
        <w:ind w:firstLine="1134"/>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 xml:space="preserve">Sofía Mercedes </w:t>
      </w:r>
      <w:proofErr w:type="spellStart"/>
      <w:r w:rsidRPr="00F226FF">
        <w:rPr>
          <w:rFonts w:ascii="Times New Roman" w:eastAsia="Times New Roman" w:hAnsi="Times New Roman" w:cs="Times New Roman"/>
          <w:sz w:val="24"/>
          <w:szCs w:val="24"/>
        </w:rPr>
        <w:t>Minchoff</w:t>
      </w:r>
      <w:proofErr w:type="spellEnd"/>
      <w:r w:rsidRPr="00F226FF">
        <w:rPr>
          <w:rFonts w:ascii="Times New Roman" w:eastAsia="Times New Roman" w:hAnsi="Times New Roman" w:cs="Times New Roman"/>
          <w:sz w:val="24"/>
          <w:szCs w:val="24"/>
        </w:rPr>
        <w:t xml:space="preserve"> </w:t>
      </w:r>
      <w:proofErr w:type="spellStart"/>
      <w:r w:rsidRPr="00F226FF">
        <w:rPr>
          <w:rFonts w:ascii="Times New Roman" w:eastAsia="Times New Roman" w:hAnsi="Times New Roman" w:cs="Times New Roman"/>
          <w:sz w:val="24"/>
          <w:szCs w:val="24"/>
        </w:rPr>
        <w:t>Treperachi</w:t>
      </w:r>
      <w:proofErr w:type="spellEnd"/>
      <w:r w:rsidRPr="00F226FF">
        <w:rPr>
          <w:rFonts w:ascii="Times New Roman" w:eastAsia="Times New Roman" w:hAnsi="Times New Roman" w:cs="Times New Roman"/>
          <w:sz w:val="24"/>
          <w:szCs w:val="24"/>
        </w:rPr>
        <w:t xml:space="preserve">, por derecho propio, manteniendo el patrocinio letrado de la Dra. Roxana </w:t>
      </w:r>
      <w:proofErr w:type="spellStart"/>
      <w:r w:rsidRPr="00F226FF">
        <w:rPr>
          <w:rFonts w:ascii="Times New Roman" w:eastAsia="Times New Roman" w:hAnsi="Times New Roman" w:cs="Times New Roman"/>
          <w:sz w:val="24"/>
          <w:szCs w:val="24"/>
        </w:rPr>
        <w:t>Senoff</w:t>
      </w:r>
      <w:proofErr w:type="spellEnd"/>
      <w:r w:rsidRPr="00F226FF">
        <w:rPr>
          <w:rFonts w:ascii="Times New Roman" w:eastAsia="Times New Roman" w:hAnsi="Times New Roman" w:cs="Times New Roman"/>
          <w:sz w:val="24"/>
          <w:szCs w:val="24"/>
        </w:rPr>
        <w:t xml:space="preserve"> (MP N° 7610), en los autos</w:t>
      </w:r>
      <w:r>
        <w:rPr>
          <w:rFonts w:ascii="Times New Roman" w:eastAsia="Times New Roman" w:hAnsi="Times New Roman" w:cs="Times New Roman"/>
          <w:sz w:val="24"/>
          <w:szCs w:val="24"/>
        </w:rPr>
        <w:t xml:space="preserve"> </w:t>
      </w:r>
      <w:proofErr w:type="spellStart"/>
      <w:r>
        <w:t>Pobi</w:t>
      </w:r>
      <w:proofErr w:type="spellEnd"/>
      <w:r>
        <w:t xml:space="preserve">, Marcela Marina c/ </w:t>
      </w:r>
      <w:proofErr w:type="spellStart"/>
      <w:r>
        <w:t>Minchoff</w:t>
      </w:r>
      <w:proofErr w:type="spellEnd"/>
      <w:r>
        <w:t xml:space="preserve"> </w:t>
      </w:r>
      <w:proofErr w:type="spellStart"/>
      <w:r>
        <w:t>Treperachi</w:t>
      </w:r>
      <w:proofErr w:type="spellEnd"/>
      <w:r>
        <w:t xml:space="preserve">, Sofía Mercedes s/ Acción de exclusión", </w:t>
      </w:r>
      <w:proofErr w:type="spellStart"/>
      <w:r>
        <w:t>Expte</w:t>
      </w:r>
      <w:proofErr w:type="spellEnd"/>
      <w:r>
        <w:t>. N° 262/25</w:t>
      </w:r>
      <w:r w:rsidRPr="00F226FF">
        <w:rPr>
          <w:rFonts w:ascii="Times New Roman" w:eastAsia="Times New Roman" w:hAnsi="Times New Roman" w:cs="Times New Roman"/>
          <w:sz w:val="24"/>
          <w:szCs w:val="24"/>
        </w:rPr>
        <w:t>, a V.S. respetuosamente digo:</w:t>
      </w:r>
    </w:p>
    <w:p w:rsidR="00F226FF" w:rsidRPr="00F226FF" w:rsidRDefault="00F226FF" w:rsidP="00F226FF">
      <w:pPr>
        <w:spacing w:after="0" w:line="240" w:lineRule="auto"/>
        <w:rPr>
          <w:rFonts w:ascii="Times New Roman" w:eastAsia="Times New Roman" w:hAnsi="Times New Roman" w:cs="Times New Roman"/>
          <w:sz w:val="24"/>
          <w:szCs w:val="24"/>
        </w:rPr>
      </w:pPr>
    </w:p>
    <w:p w:rsidR="00F226FF" w:rsidRPr="00F226FF" w:rsidRDefault="00F226FF" w:rsidP="00F226FF">
      <w:pPr>
        <w:spacing w:before="100" w:beforeAutospacing="1" w:after="100" w:afterAutospacing="1" w:line="240" w:lineRule="auto"/>
        <w:outlineLvl w:val="2"/>
        <w:rPr>
          <w:rFonts w:ascii="Times New Roman" w:eastAsia="Times New Roman" w:hAnsi="Times New Roman" w:cs="Times New Roman"/>
          <w:b/>
          <w:bCs/>
          <w:sz w:val="27"/>
          <w:szCs w:val="27"/>
        </w:rPr>
      </w:pPr>
      <w:r w:rsidRPr="00F226FF">
        <w:rPr>
          <w:rFonts w:ascii="Times New Roman" w:eastAsia="Times New Roman" w:hAnsi="Times New Roman" w:cs="Times New Roman"/>
          <w:b/>
          <w:bCs/>
          <w:sz w:val="27"/>
          <w:szCs w:val="27"/>
        </w:rPr>
        <w:t>I. OBJETO</w:t>
      </w:r>
    </w:p>
    <w:p w:rsidR="00F226FF" w:rsidRPr="00F226FF" w:rsidRDefault="00F226FF" w:rsidP="00F226FF">
      <w:p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Que vengo en legal tiempo y forma a oponer impugnación a la presentación efectuada por la parte actora en la cual intenta impropiamente impugnar la totalidad de la prueba documental y parte de la prueba testimonial ofrecida por esta parte, peticionando su íntegro rechazo, en razón de los fundamentos de hecho y derecho que paso a exponer, con integración de jurisprudencia y doctrina pertinente.</w:t>
      </w:r>
    </w:p>
    <w:p w:rsidR="00F226FF" w:rsidRPr="00F226FF" w:rsidRDefault="00F226FF" w:rsidP="00F226FF">
      <w:pPr>
        <w:spacing w:after="0" w:line="240" w:lineRule="auto"/>
        <w:jc w:val="both"/>
        <w:rPr>
          <w:rFonts w:ascii="Times New Roman" w:eastAsia="Times New Roman" w:hAnsi="Times New Roman" w:cs="Times New Roman"/>
          <w:sz w:val="24"/>
          <w:szCs w:val="24"/>
        </w:rPr>
      </w:pPr>
    </w:p>
    <w:p w:rsidR="00F226FF" w:rsidRPr="00F226FF" w:rsidRDefault="00F226FF" w:rsidP="00F226F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226FF">
        <w:rPr>
          <w:rFonts w:ascii="Times New Roman" w:eastAsia="Times New Roman" w:hAnsi="Times New Roman" w:cs="Times New Roman"/>
          <w:b/>
          <w:bCs/>
          <w:sz w:val="27"/>
          <w:szCs w:val="27"/>
        </w:rPr>
        <w:t>II. IMPROCEDENCIA DE LA REDARGUCIÓN DE FALSIDAD SOBRE INSTRUMENTOS PÚBLICOS Y DOCUMENTOS FIRMADOS POR ESTA PARTE</w:t>
      </w:r>
    </w:p>
    <w:p w:rsidR="00F226FF" w:rsidRPr="00F226FF" w:rsidRDefault="00F226FF" w:rsidP="00F226FF">
      <w:p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 xml:space="preserve">Debe declararse </w:t>
      </w:r>
      <w:r w:rsidRPr="00F226FF">
        <w:rPr>
          <w:rFonts w:ascii="Times New Roman" w:eastAsia="Times New Roman" w:hAnsi="Times New Roman" w:cs="Times New Roman"/>
          <w:b/>
          <w:bCs/>
          <w:sz w:val="24"/>
          <w:szCs w:val="24"/>
        </w:rPr>
        <w:t>inadmisible el planteo impugnatorio formulado por la actora</w:t>
      </w:r>
      <w:r w:rsidRPr="00F226FF">
        <w:rPr>
          <w:rFonts w:ascii="Times New Roman" w:eastAsia="Times New Roman" w:hAnsi="Times New Roman" w:cs="Times New Roman"/>
          <w:sz w:val="24"/>
          <w:szCs w:val="24"/>
        </w:rPr>
        <w:t xml:space="preserve"> en tanto y en cuanto pretende fundar la supuesta falsedad de documentos que gozan de presunción legal de veracidad y fuerza probatoria plena por su carácter de </w:t>
      </w:r>
      <w:r w:rsidRPr="00F226FF">
        <w:rPr>
          <w:rFonts w:ascii="Times New Roman" w:eastAsia="Times New Roman" w:hAnsi="Times New Roman" w:cs="Times New Roman"/>
          <w:b/>
          <w:bCs/>
          <w:sz w:val="24"/>
          <w:szCs w:val="24"/>
        </w:rPr>
        <w:t>instrumentos públicos</w:t>
      </w:r>
      <w:r w:rsidRPr="00F226FF">
        <w:rPr>
          <w:rFonts w:ascii="Times New Roman" w:eastAsia="Times New Roman" w:hAnsi="Times New Roman" w:cs="Times New Roman"/>
          <w:sz w:val="24"/>
          <w:szCs w:val="24"/>
        </w:rPr>
        <w:t xml:space="preserve"> (art. 979 </w:t>
      </w:r>
      <w:proofErr w:type="spellStart"/>
      <w:r w:rsidRPr="00F226FF">
        <w:rPr>
          <w:rFonts w:ascii="Times New Roman" w:eastAsia="Times New Roman" w:hAnsi="Times New Roman" w:cs="Times New Roman"/>
          <w:sz w:val="24"/>
          <w:szCs w:val="24"/>
        </w:rPr>
        <w:t>CCyC</w:t>
      </w:r>
      <w:proofErr w:type="spellEnd"/>
      <w:r w:rsidRPr="00F226FF">
        <w:rPr>
          <w:rFonts w:ascii="Times New Roman" w:eastAsia="Times New Roman" w:hAnsi="Times New Roman" w:cs="Times New Roman"/>
          <w:sz w:val="24"/>
          <w:szCs w:val="24"/>
        </w:rPr>
        <w:t xml:space="preserve">), y también de </w:t>
      </w:r>
      <w:r w:rsidRPr="00F226FF">
        <w:rPr>
          <w:rFonts w:ascii="Times New Roman" w:eastAsia="Times New Roman" w:hAnsi="Times New Roman" w:cs="Times New Roman"/>
          <w:b/>
          <w:bCs/>
          <w:sz w:val="24"/>
          <w:szCs w:val="24"/>
        </w:rPr>
        <w:t>documentos privados firmados por esta parte</w:t>
      </w:r>
      <w:r w:rsidRPr="00F226FF">
        <w:rPr>
          <w:rFonts w:ascii="Times New Roman" w:eastAsia="Times New Roman" w:hAnsi="Times New Roman" w:cs="Times New Roman"/>
          <w:sz w:val="24"/>
          <w:szCs w:val="24"/>
        </w:rPr>
        <w:t xml:space="preserve">, cuya autenticidad </w:t>
      </w:r>
      <w:r w:rsidRPr="00F226FF">
        <w:rPr>
          <w:rFonts w:ascii="Times New Roman" w:eastAsia="Times New Roman" w:hAnsi="Times New Roman" w:cs="Times New Roman"/>
          <w:b/>
          <w:bCs/>
          <w:sz w:val="24"/>
          <w:szCs w:val="24"/>
        </w:rPr>
        <w:t>no se desconoce</w:t>
      </w:r>
      <w:r w:rsidRPr="00F226FF">
        <w:rPr>
          <w:rFonts w:ascii="Times New Roman" w:eastAsia="Times New Roman" w:hAnsi="Times New Roman" w:cs="Times New Roman"/>
          <w:sz w:val="24"/>
          <w:szCs w:val="24"/>
        </w:rPr>
        <w:t>.</w:t>
      </w:r>
    </w:p>
    <w:p w:rsidR="00F226FF" w:rsidRPr="00F226FF" w:rsidRDefault="00F226FF" w:rsidP="00F226FF">
      <w:p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En efecto:</w:t>
      </w:r>
    </w:p>
    <w:p w:rsidR="00F226FF" w:rsidRPr="00F226FF" w:rsidRDefault="00F226FF" w:rsidP="00F226F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 xml:space="preserve">El </w:t>
      </w:r>
      <w:r w:rsidRPr="00F226FF">
        <w:rPr>
          <w:rFonts w:ascii="Times New Roman" w:eastAsia="Times New Roman" w:hAnsi="Times New Roman" w:cs="Times New Roman"/>
          <w:b/>
          <w:bCs/>
          <w:sz w:val="24"/>
          <w:szCs w:val="24"/>
        </w:rPr>
        <w:t>expediente judicial de pago por consignación</w:t>
      </w:r>
      <w:r w:rsidRPr="00F226FF">
        <w:rPr>
          <w:rFonts w:ascii="Times New Roman" w:eastAsia="Times New Roman" w:hAnsi="Times New Roman" w:cs="Times New Roman"/>
          <w:sz w:val="24"/>
          <w:szCs w:val="24"/>
        </w:rPr>
        <w:t xml:space="preserve"> y el </w:t>
      </w:r>
      <w:r w:rsidRPr="00F226FF">
        <w:rPr>
          <w:rFonts w:ascii="Times New Roman" w:eastAsia="Times New Roman" w:hAnsi="Times New Roman" w:cs="Times New Roman"/>
          <w:b/>
          <w:bCs/>
          <w:sz w:val="24"/>
          <w:szCs w:val="24"/>
        </w:rPr>
        <w:t>acta labrada por oficial de justicia</w:t>
      </w:r>
      <w:r w:rsidRPr="00F226FF">
        <w:rPr>
          <w:rFonts w:ascii="Times New Roman" w:eastAsia="Times New Roman" w:hAnsi="Times New Roman" w:cs="Times New Roman"/>
          <w:sz w:val="24"/>
          <w:szCs w:val="24"/>
        </w:rPr>
        <w:t xml:space="preserve"> son instrumentos públicos. Su redargución de falsedad no puede ser intentada informalmente, ya que el </w:t>
      </w:r>
      <w:r w:rsidRPr="00F226FF">
        <w:rPr>
          <w:rFonts w:ascii="Times New Roman" w:eastAsia="Times New Roman" w:hAnsi="Times New Roman" w:cs="Times New Roman"/>
          <w:b/>
          <w:bCs/>
          <w:sz w:val="24"/>
          <w:szCs w:val="24"/>
        </w:rPr>
        <w:t>art. 381 del CPCC Chaco</w:t>
      </w:r>
      <w:r w:rsidRPr="00F226FF">
        <w:rPr>
          <w:rFonts w:ascii="Times New Roman" w:eastAsia="Times New Roman" w:hAnsi="Times New Roman" w:cs="Times New Roman"/>
          <w:sz w:val="24"/>
          <w:szCs w:val="24"/>
        </w:rPr>
        <w:t xml:space="preserve"> establece expresamente que:</w:t>
      </w:r>
    </w:p>
    <w:p w:rsidR="00F226FF" w:rsidRPr="00F226FF" w:rsidRDefault="00F226FF" w:rsidP="00F226FF">
      <w:pPr>
        <w:spacing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“La redargución de falsedad de un documento público o privado debe deducirse por vía incidental y fundarse suficientemente, bajo pena de inadmisibilidad. Si el documento es de los firmados por la parte que lo presenta, el adversario que niegue su firma deberá manifestarlo en forma categórica, bajo juramento.”</w:t>
      </w:r>
    </w:p>
    <w:p w:rsidR="00F226FF" w:rsidRPr="00F226FF" w:rsidRDefault="00F226FF" w:rsidP="00F226F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Esta norma es clara: la redargución exige formalidad, actividad probatoria mínima y, en caso de firma propia, negativa categórica bajo juramento.</w:t>
      </w:r>
    </w:p>
    <w:p w:rsidR="00F226FF" w:rsidRPr="00F226FF" w:rsidRDefault="00F226FF" w:rsidP="00F226F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 xml:space="preserve">En cuanto a los </w:t>
      </w:r>
      <w:r w:rsidRPr="00F226FF">
        <w:rPr>
          <w:rFonts w:ascii="Times New Roman" w:eastAsia="Times New Roman" w:hAnsi="Times New Roman" w:cs="Times New Roman"/>
          <w:b/>
          <w:bCs/>
          <w:sz w:val="24"/>
          <w:szCs w:val="24"/>
        </w:rPr>
        <w:t>informes aportados por la empresa EME</w:t>
      </w:r>
      <w:r w:rsidRPr="00F226FF">
        <w:rPr>
          <w:rFonts w:ascii="Times New Roman" w:eastAsia="Times New Roman" w:hAnsi="Times New Roman" w:cs="Times New Roman"/>
          <w:sz w:val="24"/>
          <w:szCs w:val="24"/>
        </w:rPr>
        <w:t xml:space="preserve">, estos contienen la firma de la Sra. </w:t>
      </w:r>
      <w:proofErr w:type="spellStart"/>
      <w:r w:rsidRPr="00F226FF">
        <w:rPr>
          <w:rFonts w:ascii="Times New Roman" w:eastAsia="Times New Roman" w:hAnsi="Times New Roman" w:cs="Times New Roman"/>
          <w:sz w:val="24"/>
          <w:szCs w:val="24"/>
        </w:rPr>
        <w:t>Minchoff</w:t>
      </w:r>
      <w:proofErr w:type="spellEnd"/>
      <w:r w:rsidRPr="00F226FF">
        <w:rPr>
          <w:rFonts w:ascii="Times New Roman" w:eastAsia="Times New Roman" w:hAnsi="Times New Roman" w:cs="Times New Roman"/>
          <w:sz w:val="24"/>
          <w:szCs w:val="24"/>
        </w:rPr>
        <w:t xml:space="preserve">, </w:t>
      </w:r>
      <w:r w:rsidRPr="00F226FF">
        <w:rPr>
          <w:rFonts w:ascii="Times New Roman" w:eastAsia="Times New Roman" w:hAnsi="Times New Roman" w:cs="Times New Roman"/>
          <w:b/>
          <w:bCs/>
          <w:sz w:val="24"/>
          <w:szCs w:val="24"/>
        </w:rPr>
        <w:t>quien no los desconoce</w:t>
      </w:r>
      <w:r w:rsidRPr="00F226FF">
        <w:rPr>
          <w:rFonts w:ascii="Times New Roman" w:eastAsia="Times New Roman" w:hAnsi="Times New Roman" w:cs="Times New Roman"/>
          <w:sz w:val="24"/>
          <w:szCs w:val="24"/>
        </w:rPr>
        <w:t xml:space="preserve"> ni impugna su contenido.</w:t>
      </w:r>
    </w:p>
    <w:p w:rsidR="00F226FF" w:rsidRPr="00F226FF" w:rsidRDefault="00F226FF" w:rsidP="00F226FF">
      <w:p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lastRenderedPageBreak/>
        <w:t xml:space="preserve">Por tanto, no corresponde exigir </w:t>
      </w:r>
      <w:proofErr w:type="spellStart"/>
      <w:r w:rsidRPr="00F226FF">
        <w:rPr>
          <w:rFonts w:ascii="Times New Roman" w:eastAsia="Times New Roman" w:hAnsi="Times New Roman" w:cs="Times New Roman"/>
          <w:sz w:val="24"/>
          <w:szCs w:val="24"/>
        </w:rPr>
        <w:t>pericia</w:t>
      </w:r>
      <w:proofErr w:type="spellEnd"/>
      <w:r w:rsidRPr="00F226FF">
        <w:rPr>
          <w:rFonts w:ascii="Times New Roman" w:eastAsia="Times New Roman" w:hAnsi="Times New Roman" w:cs="Times New Roman"/>
          <w:sz w:val="24"/>
          <w:szCs w:val="24"/>
        </w:rPr>
        <w:t xml:space="preserve"> caligráfica ni ninguna otra medida de autenticación, ya que el documento se tiene por reconocido, conforme reiterada jurisprudencia:</w:t>
      </w:r>
    </w:p>
    <w:p w:rsidR="00F226FF" w:rsidRPr="00F226FF" w:rsidRDefault="00F226FF" w:rsidP="00F226FF">
      <w:pPr>
        <w:spacing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“La impugnación genérica no basta para poner en crisis la fuerza probatoria de un documento. Si la firma no se niega categóricamente, el documento se tiene por reconocido.”</w:t>
      </w:r>
      <w:r w:rsidRPr="00F226FF">
        <w:rPr>
          <w:rFonts w:ascii="Times New Roman" w:eastAsia="Times New Roman" w:hAnsi="Times New Roman" w:cs="Times New Roman"/>
          <w:sz w:val="24"/>
          <w:szCs w:val="24"/>
        </w:rPr>
        <w:br/>
        <w:t>(</w:t>
      </w:r>
      <w:proofErr w:type="spellStart"/>
      <w:r w:rsidRPr="00F226FF">
        <w:rPr>
          <w:rFonts w:ascii="Times New Roman" w:eastAsia="Times New Roman" w:hAnsi="Times New Roman" w:cs="Times New Roman"/>
          <w:sz w:val="24"/>
          <w:szCs w:val="24"/>
        </w:rPr>
        <w:t>CNCiv</w:t>
      </w:r>
      <w:proofErr w:type="spellEnd"/>
      <w:r w:rsidRPr="00F226FF">
        <w:rPr>
          <w:rFonts w:ascii="Times New Roman" w:eastAsia="Times New Roman" w:hAnsi="Times New Roman" w:cs="Times New Roman"/>
          <w:sz w:val="24"/>
          <w:szCs w:val="24"/>
        </w:rPr>
        <w:t>, Sala G, 26/03/2019, “R., J. L. c/ B., G. E.”, LL 2019-E-327).</w:t>
      </w:r>
    </w:p>
    <w:p w:rsidR="00F226FF" w:rsidRPr="00F226FF" w:rsidRDefault="00F226FF" w:rsidP="00F226FF">
      <w:pPr>
        <w:spacing w:after="0" w:line="240" w:lineRule="auto"/>
        <w:jc w:val="both"/>
        <w:rPr>
          <w:rFonts w:ascii="Times New Roman" w:eastAsia="Times New Roman" w:hAnsi="Times New Roman" w:cs="Times New Roman"/>
          <w:sz w:val="24"/>
          <w:szCs w:val="24"/>
        </w:rPr>
      </w:pPr>
    </w:p>
    <w:p w:rsidR="00F226FF" w:rsidRPr="00F226FF" w:rsidRDefault="00F226FF" w:rsidP="00F226F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226FF">
        <w:rPr>
          <w:rFonts w:ascii="Times New Roman" w:eastAsia="Times New Roman" w:hAnsi="Times New Roman" w:cs="Times New Roman"/>
          <w:b/>
          <w:bCs/>
          <w:sz w:val="27"/>
          <w:szCs w:val="27"/>
        </w:rPr>
        <w:t>III. SOBRE LA IMPUGNACIÓN GENERAL DE LAS DOCUMENTALES PRIVADAS</w:t>
      </w:r>
    </w:p>
    <w:p w:rsidR="00F226FF" w:rsidRPr="00F226FF" w:rsidRDefault="00F226FF" w:rsidP="00F226FF">
      <w:p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La actora pretende descalificar en bloque los documentos privados aportados por esta parte, imputando su falsedad material e ideológica, sin acompañar un solo elemento de prueba que respalde tal afirmación.</w:t>
      </w:r>
    </w:p>
    <w:p w:rsidR="00F226FF" w:rsidRPr="00F226FF" w:rsidRDefault="00F226FF" w:rsidP="00F226FF">
      <w:p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 xml:space="preserve">Cabe recordar que quien alega la falsedad de un instrumento —material o ideológica— asume la carga de acreditarlo. Así lo establece la doctrina procesal uniforme, conforme los principios generales del derecho procesal y la sana crítica racional, reconocidos por </w:t>
      </w:r>
      <w:r w:rsidRPr="00F226FF">
        <w:rPr>
          <w:rFonts w:ascii="Times New Roman" w:eastAsia="Times New Roman" w:hAnsi="Times New Roman" w:cs="Times New Roman"/>
          <w:b/>
          <w:bCs/>
          <w:sz w:val="24"/>
          <w:szCs w:val="24"/>
        </w:rPr>
        <w:t>Palacio</w:t>
      </w:r>
      <w:r w:rsidRPr="00F226FF">
        <w:rPr>
          <w:rFonts w:ascii="Times New Roman" w:eastAsia="Times New Roman" w:hAnsi="Times New Roman" w:cs="Times New Roman"/>
          <w:sz w:val="24"/>
          <w:szCs w:val="24"/>
        </w:rPr>
        <w:t xml:space="preserve">, </w:t>
      </w:r>
      <w:proofErr w:type="spellStart"/>
      <w:r w:rsidRPr="00F226FF">
        <w:rPr>
          <w:rFonts w:ascii="Times New Roman" w:eastAsia="Times New Roman" w:hAnsi="Times New Roman" w:cs="Times New Roman"/>
          <w:b/>
          <w:bCs/>
          <w:sz w:val="24"/>
          <w:szCs w:val="24"/>
        </w:rPr>
        <w:t>Fenochietto</w:t>
      </w:r>
      <w:proofErr w:type="spellEnd"/>
      <w:r w:rsidRPr="00F226FF">
        <w:rPr>
          <w:rFonts w:ascii="Times New Roman" w:eastAsia="Times New Roman" w:hAnsi="Times New Roman" w:cs="Times New Roman"/>
          <w:sz w:val="24"/>
          <w:szCs w:val="24"/>
        </w:rPr>
        <w:t xml:space="preserve"> y </w:t>
      </w:r>
      <w:proofErr w:type="spellStart"/>
      <w:r w:rsidRPr="00F226FF">
        <w:rPr>
          <w:rFonts w:ascii="Times New Roman" w:eastAsia="Times New Roman" w:hAnsi="Times New Roman" w:cs="Times New Roman"/>
          <w:b/>
          <w:bCs/>
          <w:sz w:val="24"/>
          <w:szCs w:val="24"/>
        </w:rPr>
        <w:t>Quadri</w:t>
      </w:r>
      <w:proofErr w:type="spellEnd"/>
      <w:r w:rsidRPr="00F226FF">
        <w:rPr>
          <w:rFonts w:ascii="Times New Roman" w:eastAsia="Times New Roman" w:hAnsi="Times New Roman" w:cs="Times New Roman"/>
          <w:sz w:val="24"/>
          <w:szCs w:val="24"/>
        </w:rPr>
        <w:t>.</w:t>
      </w:r>
    </w:p>
    <w:p w:rsidR="00F226FF" w:rsidRPr="00F226FF" w:rsidRDefault="00F226FF" w:rsidP="00F226FF">
      <w:pPr>
        <w:spacing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“Quien pretende desconocer la autenticidad de un documento tiene la carga de acreditar los extremos que sustenten dicha impugnación, no bastando la mera negativa formal.”</w:t>
      </w:r>
      <w:r w:rsidRPr="00F226FF">
        <w:rPr>
          <w:rFonts w:ascii="Times New Roman" w:eastAsia="Times New Roman" w:hAnsi="Times New Roman" w:cs="Times New Roman"/>
          <w:sz w:val="24"/>
          <w:szCs w:val="24"/>
        </w:rPr>
        <w:br/>
        <w:t>(</w:t>
      </w:r>
      <w:proofErr w:type="spellStart"/>
      <w:r w:rsidRPr="00F226FF">
        <w:rPr>
          <w:rFonts w:ascii="Times New Roman" w:eastAsia="Times New Roman" w:hAnsi="Times New Roman" w:cs="Times New Roman"/>
          <w:sz w:val="24"/>
          <w:szCs w:val="24"/>
        </w:rPr>
        <w:t>CNCiv</w:t>
      </w:r>
      <w:proofErr w:type="spellEnd"/>
      <w:r w:rsidRPr="00F226FF">
        <w:rPr>
          <w:rFonts w:ascii="Times New Roman" w:eastAsia="Times New Roman" w:hAnsi="Times New Roman" w:cs="Times New Roman"/>
          <w:sz w:val="24"/>
          <w:szCs w:val="24"/>
        </w:rPr>
        <w:t>, Sala H, 17/11/2015, “B. c/ G.”, LL 2016-B-147).</w:t>
      </w:r>
    </w:p>
    <w:p w:rsidR="00F226FF" w:rsidRPr="00F226FF" w:rsidRDefault="00F226FF" w:rsidP="00F226FF">
      <w:p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 xml:space="preserve">En autos, la actora no ofreció </w:t>
      </w:r>
      <w:proofErr w:type="spellStart"/>
      <w:r w:rsidRPr="00F226FF">
        <w:rPr>
          <w:rFonts w:ascii="Times New Roman" w:eastAsia="Times New Roman" w:hAnsi="Times New Roman" w:cs="Times New Roman"/>
          <w:sz w:val="24"/>
          <w:szCs w:val="24"/>
        </w:rPr>
        <w:t>pericia</w:t>
      </w:r>
      <w:proofErr w:type="spellEnd"/>
      <w:r w:rsidRPr="00F226FF">
        <w:rPr>
          <w:rFonts w:ascii="Times New Roman" w:eastAsia="Times New Roman" w:hAnsi="Times New Roman" w:cs="Times New Roman"/>
          <w:sz w:val="24"/>
          <w:szCs w:val="24"/>
        </w:rPr>
        <w:t xml:space="preserve"> caligráfica, ni informativas, ni otra actividad probatoria. Su planteo es dogmático y debe rechazarse.</w:t>
      </w:r>
    </w:p>
    <w:p w:rsidR="00F226FF" w:rsidRPr="00F226FF" w:rsidRDefault="00F226FF" w:rsidP="00F226FF">
      <w:pPr>
        <w:spacing w:after="0" w:line="240" w:lineRule="auto"/>
        <w:jc w:val="both"/>
        <w:rPr>
          <w:rFonts w:ascii="Times New Roman" w:eastAsia="Times New Roman" w:hAnsi="Times New Roman" w:cs="Times New Roman"/>
          <w:sz w:val="24"/>
          <w:szCs w:val="24"/>
        </w:rPr>
      </w:pPr>
    </w:p>
    <w:p w:rsidR="00F226FF" w:rsidRPr="00F226FF" w:rsidRDefault="00F226FF" w:rsidP="00F226F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226FF">
        <w:rPr>
          <w:rFonts w:ascii="Times New Roman" w:eastAsia="Times New Roman" w:hAnsi="Times New Roman" w:cs="Times New Roman"/>
          <w:b/>
          <w:bCs/>
          <w:sz w:val="27"/>
          <w:szCs w:val="27"/>
        </w:rPr>
        <w:t>IV. SOBRE LAS FACTURAS, INFORMES Y DOCUMENTACIÓN APORTADA</w:t>
      </w:r>
    </w:p>
    <w:p w:rsidR="00F226FF" w:rsidRPr="00F226FF" w:rsidRDefault="00F226FF" w:rsidP="00F226FF">
      <w:p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 xml:space="preserve">Las facturas de </w:t>
      </w:r>
      <w:r w:rsidRPr="00F226FF">
        <w:rPr>
          <w:rFonts w:ascii="Times New Roman" w:eastAsia="Times New Roman" w:hAnsi="Times New Roman" w:cs="Times New Roman"/>
          <w:b/>
          <w:bCs/>
          <w:sz w:val="24"/>
          <w:szCs w:val="24"/>
        </w:rPr>
        <w:t>SECHEEP</w:t>
      </w:r>
      <w:r w:rsidRPr="00F226FF">
        <w:rPr>
          <w:rFonts w:ascii="Times New Roman" w:eastAsia="Times New Roman" w:hAnsi="Times New Roman" w:cs="Times New Roman"/>
          <w:sz w:val="24"/>
          <w:szCs w:val="24"/>
        </w:rPr>
        <w:t xml:space="preserve">, el </w:t>
      </w:r>
      <w:r w:rsidRPr="00F226FF">
        <w:rPr>
          <w:rFonts w:ascii="Times New Roman" w:eastAsia="Times New Roman" w:hAnsi="Times New Roman" w:cs="Times New Roman"/>
          <w:b/>
          <w:bCs/>
          <w:sz w:val="24"/>
          <w:szCs w:val="24"/>
        </w:rPr>
        <w:t>informe médico</w:t>
      </w:r>
      <w:r w:rsidRPr="00F226FF">
        <w:rPr>
          <w:rFonts w:ascii="Times New Roman" w:eastAsia="Times New Roman" w:hAnsi="Times New Roman" w:cs="Times New Roman"/>
          <w:sz w:val="24"/>
          <w:szCs w:val="24"/>
        </w:rPr>
        <w:t xml:space="preserve"> y la documentación de la empresa </w:t>
      </w:r>
      <w:r w:rsidRPr="00F226FF">
        <w:rPr>
          <w:rFonts w:ascii="Times New Roman" w:eastAsia="Times New Roman" w:hAnsi="Times New Roman" w:cs="Times New Roman"/>
          <w:b/>
          <w:bCs/>
          <w:sz w:val="24"/>
          <w:szCs w:val="24"/>
        </w:rPr>
        <w:t>EME</w:t>
      </w:r>
      <w:r w:rsidRPr="00F226FF">
        <w:rPr>
          <w:rFonts w:ascii="Times New Roman" w:eastAsia="Times New Roman" w:hAnsi="Times New Roman" w:cs="Times New Roman"/>
          <w:sz w:val="24"/>
          <w:szCs w:val="24"/>
        </w:rPr>
        <w:t xml:space="preserve"> son documentos privados de origen verificable. Tienen presunción de autenticidad mientras no se acredite su falsedad.</w:t>
      </w:r>
    </w:p>
    <w:p w:rsidR="00F226FF" w:rsidRPr="00F226FF" w:rsidRDefault="00F226FF" w:rsidP="00F226FF">
      <w:p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El oferente no está obligado a promover prueba adicional si no existe tacha fundada. Es la parte que impugna la que debe probar la falsedad.</w:t>
      </w:r>
    </w:p>
    <w:p w:rsidR="00F226FF" w:rsidRPr="00F226FF" w:rsidRDefault="00F226FF" w:rsidP="00F226FF">
      <w:pPr>
        <w:spacing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“Cuando el adversario impugna un documento aportado por la otra parte, la carga de la prueba de la falsedad o de la falta de autenticidad recae sobre quien la afirma.”</w:t>
      </w:r>
      <w:r w:rsidRPr="00F226FF">
        <w:rPr>
          <w:rFonts w:ascii="Times New Roman" w:eastAsia="Times New Roman" w:hAnsi="Times New Roman" w:cs="Times New Roman"/>
          <w:sz w:val="24"/>
          <w:szCs w:val="24"/>
        </w:rPr>
        <w:br/>
        <w:t>(</w:t>
      </w:r>
      <w:r w:rsidRPr="00F226FF">
        <w:rPr>
          <w:rFonts w:ascii="Times New Roman" w:eastAsia="Times New Roman" w:hAnsi="Times New Roman" w:cs="Times New Roman"/>
          <w:i/>
          <w:iCs/>
          <w:sz w:val="24"/>
          <w:szCs w:val="24"/>
        </w:rPr>
        <w:t>Palacio</w:t>
      </w:r>
      <w:r w:rsidRPr="00F226FF">
        <w:rPr>
          <w:rFonts w:ascii="Times New Roman" w:eastAsia="Times New Roman" w:hAnsi="Times New Roman" w:cs="Times New Roman"/>
          <w:sz w:val="24"/>
          <w:szCs w:val="24"/>
        </w:rPr>
        <w:t>, Derecho Procesal Civil, T. IV, p. 305).</w:t>
      </w:r>
    </w:p>
    <w:p w:rsidR="00F226FF" w:rsidRPr="00F226FF" w:rsidRDefault="00F226FF" w:rsidP="00F226FF">
      <w:pPr>
        <w:spacing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“La carga de probar la falsedad de un documento impugnado corresponde a quien la alega.”</w:t>
      </w:r>
      <w:r w:rsidRPr="00F226FF">
        <w:rPr>
          <w:rFonts w:ascii="Times New Roman" w:eastAsia="Times New Roman" w:hAnsi="Times New Roman" w:cs="Times New Roman"/>
          <w:sz w:val="24"/>
          <w:szCs w:val="24"/>
        </w:rPr>
        <w:br/>
        <w:t>(</w:t>
      </w:r>
      <w:proofErr w:type="spellStart"/>
      <w:r w:rsidRPr="00F226FF">
        <w:rPr>
          <w:rFonts w:ascii="Times New Roman" w:eastAsia="Times New Roman" w:hAnsi="Times New Roman" w:cs="Times New Roman"/>
          <w:i/>
          <w:iCs/>
          <w:sz w:val="24"/>
          <w:szCs w:val="24"/>
        </w:rPr>
        <w:t>Fenochietto</w:t>
      </w:r>
      <w:proofErr w:type="spellEnd"/>
      <w:r w:rsidRPr="00F226FF">
        <w:rPr>
          <w:rFonts w:ascii="Times New Roman" w:eastAsia="Times New Roman" w:hAnsi="Times New Roman" w:cs="Times New Roman"/>
          <w:sz w:val="24"/>
          <w:szCs w:val="24"/>
        </w:rPr>
        <w:t>, Código Procesal Civil y Comercial Comentado, T. II, p. 369).</w:t>
      </w:r>
    </w:p>
    <w:p w:rsidR="00F226FF" w:rsidRPr="00F226FF" w:rsidRDefault="00F226FF" w:rsidP="00F226FF">
      <w:pPr>
        <w:spacing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lastRenderedPageBreak/>
        <w:t>“La parte que desconoce la autenticidad de un documento tiene la carga de justificar su impugnación. El simple desconocimiento no basta.”</w:t>
      </w:r>
      <w:r w:rsidRPr="00F226FF">
        <w:rPr>
          <w:rFonts w:ascii="Times New Roman" w:eastAsia="Times New Roman" w:hAnsi="Times New Roman" w:cs="Times New Roman"/>
          <w:sz w:val="24"/>
          <w:szCs w:val="24"/>
        </w:rPr>
        <w:br/>
        <w:t>(</w:t>
      </w:r>
      <w:proofErr w:type="spellStart"/>
      <w:r w:rsidRPr="00F226FF">
        <w:rPr>
          <w:rFonts w:ascii="Times New Roman" w:eastAsia="Times New Roman" w:hAnsi="Times New Roman" w:cs="Times New Roman"/>
          <w:i/>
          <w:iCs/>
          <w:sz w:val="24"/>
          <w:szCs w:val="24"/>
        </w:rPr>
        <w:t>Quadri</w:t>
      </w:r>
      <w:proofErr w:type="spellEnd"/>
      <w:r w:rsidRPr="00F226FF">
        <w:rPr>
          <w:rFonts w:ascii="Times New Roman" w:eastAsia="Times New Roman" w:hAnsi="Times New Roman" w:cs="Times New Roman"/>
          <w:sz w:val="24"/>
          <w:szCs w:val="24"/>
        </w:rPr>
        <w:t>, Tratado de Prueba Electrónica, p. 22).</w:t>
      </w:r>
    </w:p>
    <w:p w:rsidR="00F226FF" w:rsidRPr="00F226FF" w:rsidRDefault="00F226FF" w:rsidP="00F226FF">
      <w:pPr>
        <w:spacing w:after="0" w:line="240" w:lineRule="auto"/>
        <w:jc w:val="both"/>
        <w:rPr>
          <w:rFonts w:ascii="Times New Roman" w:eastAsia="Times New Roman" w:hAnsi="Times New Roman" w:cs="Times New Roman"/>
          <w:sz w:val="24"/>
          <w:szCs w:val="24"/>
        </w:rPr>
      </w:pPr>
    </w:p>
    <w:p w:rsidR="00F226FF" w:rsidRPr="00F226FF" w:rsidRDefault="00F226FF" w:rsidP="00F226F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226FF">
        <w:rPr>
          <w:rFonts w:ascii="Times New Roman" w:eastAsia="Times New Roman" w:hAnsi="Times New Roman" w:cs="Times New Roman"/>
          <w:b/>
          <w:bCs/>
          <w:sz w:val="27"/>
          <w:szCs w:val="27"/>
        </w:rPr>
        <w:t>V. SOBRE LA CANTIDAD DE TESTIGOS</w:t>
      </w:r>
    </w:p>
    <w:p w:rsidR="00F226FF" w:rsidRPr="00F226FF" w:rsidRDefault="00F226FF" w:rsidP="00F226FF">
      <w:p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La actora objeta el número de testigos ofrecidos por esta parte, invocando el art. 407 del CPCC Chaco. Sin embargo, cuando los hechos a acreditar son diversos —como convivencia, atención médica, asistencia al deceso, trámites funerarios— corresponde la aplicación del principio de amplitud probatoria.</w:t>
      </w:r>
    </w:p>
    <w:p w:rsidR="00F226FF" w:rsidRPr="00F226FF" w:rsidRDefault="00F226FF" w:rsidP="00F226FF">
      <w:pPr>
        <w:spacing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“Debe prevalecer el principio de amplitud probatoria en materia de sucesiones, en tanto está comprometido el derecho a heredar, que reviste carácter de orden público familiar.”</w:t>
      </w:r>
      <w:r w:rsidRPr="00F226FF">
        <w:rPr>
          <w:rFonts w:ascii="Times New Roman" w:eastAsia="Times New Roman" w:hAnsi="Times New Roman" w:cs="Times New Roman"/>
          <w:sz w:val="24"/>
          <w:szCs w:val="24"/>
        </w:rPr>
        <w:br/>
        <w:t>(</w:t>
      </w:r>
      <w:proofErr w:type="spellStart"/>
      <w:r w:rsidRPr="00F226FF">
        <w:rPr>
          <w:rFonts w:ascii="Times New Roman" w:eastAsia="Times New Roman" w:hAnsi="Times New Roman" w:cs="Times New Roman"/>
          <w:sz w:val="24"/>
          <w:szCs w:val="24"/>
        </w:rPr>
        <w:t>CNCiv</w:t>
      </w:r>
      <w:proofErr w:type="spellEnd"/>
      <w:r w:rsidRPr="00F226FF">
        <w:rPr>
          <w:rFonts w:ascii="Times New Roman" w:eastAsia="Times New Roman" w:hAnsi="Times New Roman" w:cs="Times New Roman"/>
          <w:sz w:val="24"/>
          <w:szCs w:val="24"/>
        </w:rPr>
        <w:t>, Sala A, 22/10/2013, “L., C. E. c/ L., A. J.”, LL 2014-A-951).</w:t>
      </w:r>
    </w:p>
    <w:p w:rsidR="00F226FF" w:rsidRPr="00F226FF" w:rsidRDefault="00F226FF" w:rsidP="00F226FF">
      <w:pPr>
        <w:spacing w:after="0" w:line="240" w:lineRule="auto"/>
        <w:jc w:val="both"/>
        <w:rPr>
          <w:rFonts w:ascii="Times New Roman" w:eastAsia="Times New Roman" w:hAnsi="Times New Roman" w:cs="Times New Roman"/>
          <w:sz w:val="24"/>
          <w:szCs w:val="24"/>
        </w:rPr>
      </w:pPr>
    </w:p>
    <w:p w:rsidR="00F226FF" w:rsidRPr="00F226FF" w:rsidRDefault="00F226FF" w:rsidP="00F226F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226FF">
        <w:rPr>
          <w:rFonts w:ascii="Times New Roman" w:eastAsia="Times New Roman" w:hAnsi="Times New Roman" w:cs="Times New Roman"/>
          <w:b/>
          <w:bCs/>
          <w:sz w:val="27"/>
          <w:szCs w:val="27"/>
        </w:rPr>
        <w:t xml:space="preserve">VI. SOBRE EL </w:t>
      </w:r>
      <w:r w:rsidRPr="00F226FF">
        <w:rPr>
          <w:rFonts w:ascii="Times New Roman" w:eastAsia="Times New Roman" w:hAnsi="Times New Roman" w:cs="Times New Roman"/>
          <w:b/>
          <w:bCs/>
          <w:i/>
          <w:iCs/>
          <w:sz w:val="27"/>
          <w:szCs w:val="27"/>
        </w:rPr>
        <w:t>AFFECTIO MARITALIS</w:t>
      </w:r>
    </w:p>
    <w:p w:rsidR="00F226FF" w:rsidRPr="00F226FF" w:rsidRDefault="00F226FF" w:rsidP="00F226FF">
      <w:p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 xml:space="preserve">La exclusión hereditaria exige probar dos extremos concurrentes: la separación de hecho con rasgos de permanencia y la </w:t>
      </w:r>
      <w:r w:rsidRPr="00F226FF">
        <w:rPr>
          <w:rFonts w:ascii="Times New Roman" w:eastAsia="Times New Roman" w:hAnsi="Times New Roman" w:cs="Times New Roman"/>
          <w:b/>
          <w:bCs/>
          <w:sz w:val="24"/>
          <w:szCs w:val="24"/>
        </w:rPr>
        <w:t xml:space="preserve">ausencia recíproca del </w:t>
      </w:r>
      <w:proofErr w:type="spellStart"/>
      <w:r w:rsidRPr="00F226FF">
        <w:rPr>
          <w:rFonts w:ascii="Times New Roman" w:eastAsia="Times New Roman" w:hAnsi="Times New Roman" w:cs="Times New Roman"/>
          <w:b/>
          <w:bCs/>
          <w:sz w:val="24"/>
          <w:szCs w:val="24"/>
        </w:rPr>
        <w:t>affectio</w:t>
      </w:r>
      <w:proofErr w:type="spellEnd"/>
      <w:r w:rsidRPr="00F226FF">
        <w:rPr>
          <w:rFonts w:ascii="Times New Roman" w:eastAsia="Times New Roman" w:hAnsi="Times New Roman" w:cs="Times New Roman"/>
          <w:b/>
          <w:bCs/>
          <w:sz w:val="24"/>
          <w:szCs w:val="24"/>
        </w:rPr>
        <w:t xml:space="preserve"> </w:t>
      </w:r>
      <w:proofErr w:type="spellStart"/>
      <w:r w:rsidRPr="00F226FF">
        <w:rPr>
          <w:rFonts w:ascii="Times New Roman" w:eastAsia="Times New Roman" w:hAnsi="Times New Roman" w:cs="Times New Roman"/>
          <w:b/>
          <w:bCs/>
          <w:sz w:val="24"/>
          <w:szCs w:val="24"/>
        </w:rPr>
        <w:t>maritalis</w:t>
      </w:r>
      <w:proofErr w:type="spellEnd"/>
      <w:r w:rsidRPr="00F226FF">
        <w:rPr>
          <w:rFonts w:ascii="Times New Roman" w:eastAsia="Times New Roman" w:hAnsi="Times New Roman" w:cs="Times New Roman"/>
          <w:sz w:val="24"/>
          <w:szCs w:val="24"/>
        </w:rPr>
        <w:t>.</w:t>
      </w:r>
    </w:p>
    <w:p w:rsidR="00F226FF" w:rsidRPr="00F226FF" w:rsidRDefault="00F226FF" w:rsidP="00F226FF">
      <w:pPr>
        <w:spacing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“El matrimonio subsiste mientras uno de los cónyuges conserve la voluntad de mantenerlo. La sola separación fáctica no implica la exclusión hereditaria.”</w:t>
      </w:r>
      <w:r w:rsidRPr="00F226FF">
        <w:rPr>
          <w:rFonts w:ascii="Times New Roman" w:eastAsia="Times New Roman" w:hAnsi="Times New Roman" w:cs="Times New Roman"/>
          <w:sz w:val="24"/>
          <w:szCs w:val="24"/>
        </w:rPr>
        <w:br/>
        <w:t>(</w:t>
      </w:r>
      <w:proofErr w:type="spellStart"/>
      <w:r w:rsidRPr="00F226FF">
        <w:rPr>
          <w:rFonts w:ascii="Times New Roman" w:eastAsia="Times New Roman" w:hAnsi="Times New Roman" w:cs="Times New Roman"/>
          <w:i/>
          <w:iCs/>
          <w:sz w:val="24"/>
          <w:szCs w:val="24"/>
        </w:rPr>
        <w:t>Kemelmajer</w:t>
      </w:r>
      <w:proofErr w:type="spellEnd"/>
      <w:r w:rsidRPr="00F226FF">
        <w:rPr>
          <w:rFonts w:ascii="Times New Roman" w:eastAsia="Times New Roman" w:hAnsi="Times New Roman" w:cs="Times New Roman"/>
          <w:i/>
          <w:iCs/>
          <w:sz w:val="24"/>
          <w:szCs w:val="24"/>
        </w:rPr>
        <w:t xml:space="preserve"> de </w:t>
      </w:r>
      <w:proofErr w:type="spellStart"/>
      <w:r w:rsidRPr="00F226FF">
        <w:rPr>
          <w:rFonts w:ascii="Times New Roman" w:eastAsia="Times New Roman" w:hAnsi="Times New Roman" w:cs="Times New Roman"/>
          <w:i/>
          <w:iCs/>
          <w:sz w:val="24"/>
          <w:szCs w:val="24"/>
        </w:rPr>
        <w:t>Carlucci</w:t>
      </w:r>
      <w:proofErr w:type="spellEnd"/>
      <w:r w:rsidRPr="00F226FF">
        <w:rPr>
          <w:rFonts w:ascii="Times New Roman" w:eastAsia="Times New Roman" w:hAnsi="Times New Roman" w:cs="Times New Roman"/>
          <w:sz w:val="24"/>
          <w:szCs w:val="24"/>
        </w:rPr>
        <w:t xml:space="preserve">, en </w:t>
      </w:r>
      <w:proofErr w:type="spellStart"/>
      <w:r w:rsidRPr="00F226FF">
        <w:rPr>
          <w:rFonts w:ascii="Times New Roman" w:eastAsia="Times New Roman" w:hAnsi="Times New Roman" w:cs="Times New Roman"/>
          <w:sz w:val="24"/>
          <w:szCs w:val="24"/>
        </w:rPr>
        <w:t>Lorenzetti</w:t>
      </w:r>
      <w:proofErr w:type="spellEnd"/>
      <w:r w:rsidRPr="00F226FF">
        <w:rPr>
          <w:rFonts w:ascii="Times New Roman" w:eastAsia="Times New Roman" w:hAnsi="Times New Roman" w:cs="Times New Roman"/>
          <w:sz w:val="24"/>
          <w:szCs w:val="24"/>
        </w:rPr>
        <w:t>, Código Civil y Comercial Comentado, T. VIII).</w:t>
      </w:r>
    </w:p>
    <w:p w:rsidR="00F226FF" w:rsidRPr="00F226FF" w:rsidRDefault="00F226FF" w:rsidP="00F226FF">
      <w:pPr>
        <w:spacing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 xml:space="preserve">“El </w:t>
      </w:r>
      <w:proofErr w:type="spellStart"/>
      <w:r w:rsidRPr="00F226FF">
        <w:rPr>
          <w:rFonts w:ascii="Times New Roman" w:eastAsia="Times New Roman" w:hAnsi="Times New Roman" w:cs="Times New Roman"/>
          <w:i/>
          <w:iCs/>
          <w:sz w:val="24"/>
          <w:szCs w:val="24"/>
        </w:rPr>
        <w:t>affectio</w:t>
      </w:r>
      <w:proofErr w:type="spellEnd"/>
      <w:r w:rsidRPr="00F226FF">
        <w:rPr>
          <w:rFonts w:ascii="Times New Roman" w:eastAsia="Times New Roman" w:hAnsi="Times New Roman" w:cs="Times New Roman"/>
          <w:i/>
          <w:iCs/>
          <w:sz w:val="24"/>
          <w:szCs w:val="24"/>
        </w:rPr>
        <w:t xml:space="preserve"> </w:t>
      </w:r>
      <w:proofErr w:type="spellStart"/>
      <w:r w:rsidRPr="00F226FF">
        <w:rPr>
          <w:rFonts w:ascii="Times New Roman" w:eastAsia="Times New Roman" w:hAnsi="Times New Roman" w:cs="Times New Roman"/>
          <w:i/>
          <w:iCs/>
          <w:sz w:val="24"/>
          <w:szCs w:val="24"/>
        </w:rPr>
        <w:t>maritalis</w:t>
      </w:r>
      <w:proofErr w:type="spellEnd"/>
      <w:r w:rsidRPr="00F226FF">
        <w:rPr>
          <w:rFonts w:ascii="Times New Roman" w:eastAsia="Times New Roman" w:hAnsi="Times New Roman" w:cs="Times New Roman"/>
          <w:sz w:val="24"/>
          <w:szCs w:val="24"/>
        </w:rPr>
        <w:t xml:space="preserve"> es el elemento subjetivo determinante: sin voluntad recíproca de disolver el matrimonio, la separación física no basta.”</w:t>
      </w:r>
      <w:r w:rsidRPr="00F226FF">
        <w:rPr>
          <w:rFonts w:ascii="Times New Roman" w:eastAsia="Times New Roman" w:hAnsi="Times New Roman" w:cs="Times New Roman"/>
          <w:sz w:val="24"/>
          <w:szCs w:val="24"/>
        </w:rPr>
        <w:br/>
        <w:t>(</w:t>
      </w:r>
      <w:r w:rsidRPr="00F226FF">
        <w:rPr>
          <w:rFonts w:ascii="Times New Roman" w:eastAsia="Times New Roman" w:hAnsi="Times New Roman" w:cs="Times New Roman"/>
          <w:i/>
          <w:iCs/>
          <w:sz w:val="24"/>
          <w:szCs w:val="24"/>
        </w:rPr>
        <w:t>Medina</w:t>
      </w:r>
      <w:r w:rsidRPr="00F226FF">
        <w:rPr>
          <w:rFonts w:ascii="Times New Roman" w:eastAsia="Times New Roman" w:hAnsi="Times New Roman" w:cs="Times New Roman"/>
          <w:sz w:val="24"/>
          <w:szCs w:val="24"/>
        </w:rPr>
        <w:t xml:space="preserve">, Proceso Sucesorio, </w:t>
      </w:r>
      <w:proofErr w:type="spellStart"/>
      <w:r w:rsidRPr="00F226FF">
        <w:rPr>
          <w:rFonts w:ascii="Times New Roman" w:eastAsia="Times New Roman" w:hAnsi="Times New Roman" w:cs="Times New Roman"/>
          <w:sz w:val="24"/>
          <w:szCs w:val="24"/>
        </w:rPr>
        <w:t>Rubinzal</w:t>
      </w:r>
      <w:proofErr w:type="spellEnd"/>
      <w:r w:rsidRPr="00F226FF">
        <w:rPr>
          <w:rFonts w:ascii="Times New Roman" w:eastAsia="Times New Roman" w:hAnsi="Times New Roman" w:cs="Times New Roman"/>
          <w:sz w:val="24"/>
          <w:szCs w:val="24"/>
        </w:rPr>
        <w:t xml:space="preserve"> </w:t>
      </w:r>
      <w:proofErr w:type="spellStart"/>
      <w:r w:rsidRPr="00F226FF">
        <w:rPr>
          <w:rFonts w:ascii="Times New Roman" w:eastAsia="Times New Roman" w:hAnsi="Times New Roman" w:cs="Times New Roman"/>
          <w:sz w:val="24"/>
          <w:szCs w:val="24"/>
        </w:rPr>
        <w:t>Culzoni</w:t>
      </w:r>
      <w:proofErr w:type="spellEnd"/>
      <w:r w:rsidRPr="00F226FF">
        <w:rPr>
          <w:rFonts w:ascii="Times New Roman" w:eastAsia="Times New Roman" w:hAnsi="Times New Roman" w:cs="Times New Roman"/>
          <w:sz w:val="24"/>
          <w:szCs w:val="24"/>
        </w:rPr>
        <w:t>, 2021, p. 484).</w:t>
      </w:r>
    </w:p>
    <w:p w:rsidR="00F226FF" w:rsidRPr="00F226FF" w:rsidRDefault="00F226FF" w:rsidP="00F226FF">
      <w:pPr>
        <w:spacing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“Mientras subsista en uno de los esposos el propósito de mantener el vínculo, no hay exclusión posible.”</w:t>
      </w:r>
      <w:r w:rsidRPr="00F226FF">
        <w:rPr>
          <w:rFonts w:ascii="Times New Roman" w:eastAsia="Times New Roman" w:hAnsi="Times New Roman" w:cs="Times New Roman"/>
          <w:sz w:val="24"/>
          <w:szCs w:val="24"/>
        </w:rPr>
        <w:br/>
        <w:t>(</w:t>
      </w:r>
      <w:proofErr w:type="spellStart"/>
      <w:r w:rsidRPr="00F226FF">
        <w:rPr>
          <w:rFonts w:ascii="Times New Roman" w:eastAsia="Times New Roman" w:hAnsi="Times New Roman" w:cs="Times New Roman"/>
          <w:i/>
          <w:iCs/>
          <w:sz w:val="24"/>
          <w:szCs w:val="24"/>
        </w:rPr>
        <w:t>Azpiri</w:t>
      </w:r>
      <w:proofErr w:type="spellEnd"/>
      <w:r w:rsidRPr="00F226FF">
        <w:rPr>
          <w:rFonts w:ascii="Times New Roman" w:eastAsia="Times New Roman" w:hAnsi="Times New Roman" w:cs="Times New Roman"/>
          <w:sz w:val="24"/>
          <w:szCs w:val="24"/>
        </w:rPr>
        <w:t>, Sucesiones en el Código Civil y Comercial, La Ley, 2016).</w:t>
      </w:r>
    </w:p>
    <w:p w:rsidR="00F226FF" w:rsidRPr="00F226FF" w:rsidRDefault="00F226FF" w:rsidP="00F226FF">
      <w:pPr>
        <w:spacing w:after="0" w:line="240" w:lineRule="auto"/>
        <w:jc w:val="both"/>
        <w:rPr>
          <w:rFonts w:ascii="Times New Roman" w:eastAsia="Times New Roman" w:hAnsi="Times New Roman" w:cs="Times New Roman"/>
          <w:sz w:val="24"/>
          <w:szCs w:val="24"/>
        </w:rPr>
      </w:pPr>
    </w:p>
    <w:p w:rsidR="00F226FF" w:rsidRPr="00F226FF" w:rsidRDefault="00F226FF" w:rsidP="00F226F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226FF">
        <w:rPr>
          <w:rFonts w:ascii="Times New Roman" w:eastAsia="Times New Roman" w:hAnsi="Times New Roman" w:cs="Times New Roman"/>
          <w:b/>
          <w:bCs/>
          <w:sz w:val="27"/>
          <w:szCs w:val="27"/>
        </w:rPr>
        <w:t>VII. RESERVA DE CASO FEDERAL</w:t>
      </w:r>
    </w:p>
    <w:p w:rsidR="00F226FF" w:rsidRPr="00F226FF" w:rsidRDefault="00F226FF" w:rsidP="00F226FF">
      <w:p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En resguardo del derecho de defensa en juicio, la tutela judicial efectiva y el debido proceso (arts. 14, 17, 18 CN; art. 8.1 CADH), formulo expresa reserva de caso federal en los términos del art. 14 de la Ley 48.</w:t>
      </w:r>
    </w:p>
    <w:p w:rsidR="00F226FF" w:rsidRPr="00F226FF" w:rsidRDefault="00F226FF" w:rsidP="00F226FF">
      <w:pPr>
        <w:spacing w:after="0" w:line="240" w:lineRule="auto"/>
        <w:jc w:val="both"/>
        <w:rPr>
          <w:rFonts w:ascii="Times New Roman" w:eastAsia="Times New Roman" w:hAnsi="Times New Roman" w:cs="Times New Roman"/>
          <w:sz w:val="24"/>
          <w:szCs w:val="24"/>
        </w:rPr>
      </w:pPr>
    </w:p>
    <w:p w:rsidR="00F226FF" w:rsidRPr="00F226FF" w:rsidRDefault="00F226FF" w:rsidP="00F226FF">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226FF">
        <w:rPr>
          <w:rFonts w:ascii="Times New Roman" w:eastAsia="Times New Roman" w:hAnsi="Times New Roman" w:cs="Times New Roman"/>
          <w:b/>
          <w:bCs/>
          <w:sz w:val="27"/>
          <w:szCs w:val="27"/>
        </w:rPr>
        <w:t>VIII. PETITORIO</w:t>
      </w:r>
    </w:p>
    <w:p w:rsidR="00F226FF" w:rsidRPr="00F226FF" w:rsidRDefault="00F226FF" w:rsidP="00F226FF">
      <w:p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Por lo expuesto, a V.S. solicito:</w:t>
      </w:r>
    </w:p>
    <w:p w:rsidR="00F226FF" w:rsidRPr="00F226FF" w:rsidRDefault="00F226FF" w:rsidP="00F226F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lastRenderedPageBreak/>
        <w:t>Se tenga por formulada la presente oposición.</w:t>
      </w:r>
    </w:p>
    <w:p w:rsidR="00F226FF" w:rsidRPr="00F226FF" w:rsidRDefault="00F226FF" w:rsidP="00F226F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Se declare inadmisible la impugnación respecto a los instrumentos públicos y documentos firmados por esta parte.</w:t>
      </w:r>
    </w:p>
    <w:p w:rsidR="00F226FF" w:rsidRPr="00F226FF" w:rsidRDefault="00F226FF" w:rsidP="00F226F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Se rechace en todas sus partes la impugnación de pruebas intentada.</w:t>
      </w:r>
    </w:p>
    <w:p w:rsidR="00F226FF" w:rsidRPr="00F226FF" w:rsidRDefault="00F226FF" w:rsidP="00F226F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Se mantenga la validez de la totalidad de las pruebas ofrecidas.</w:t>
      </w:r>
    </w:p>
    <w:p w:rsidR="00F226FF" w:rsidRPr="00F226FF" w:rsidRDefault="00F226FF" w:rsidP="00F226F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Se autorice la producción de la totalidad de los testigos ofrecidos.</w:t>
      </w:r>
    </w:p>
    <w:p w:rsidR="00F226FF" w:rsidRPr="00F226FF" w:rsidRDefault="00F226FF" w:rsidP="00F226F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Se tenga por formulada reserva de caso federal.</w:t>
      </w:r>
    </w:p>
    <w:p w:rsidR="00F226FF" w:rsidRPr="00F226FF" w:rsidRDefault="00F226FF" w:rsidP="00F226F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226FF">
        <w:rPr>
          <w:rFonts w:ascii="Times New Roman" w:eastAsia="Times New Roman" w:hAnsi="Times New Roman" w:cs="Times New Roman"/>
          <w:sz w:val="24"/>
          <w:szCs w:val="24"/>
        </w:rPr>
        <w:t>Con costas.</w:t>
      </w:r>
    </w:p>
    <w:p w:rsidR="00F226FF" w:rsidRPr="00F226FF" w:rsidRDefault="00F226FF" w:rsidP="00F226FF">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Proveer de Conformidad, </w:t>
      </w:r>
    </w:p>
    <w:p w:rsidR="00F226FF" w:rsidRPr="00F226FF" w:rsidRDefault="00F226FF" w:rsidP="00F226FF">
      <w:pPr>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drawing>
          <wp:anchor distT="0" distB="0" distL="114300" distR="114300" simplePos="0" relativeHeight="251661312" behindDoc="1" locked="0" layoutInCell="1" allowOverlap="1">
            <wp:simplePos x="0" y="0"/>
            <wp:positionH relativeFrom="column">
              <wp:posOffset>-59690</wp:posOffset>
            </wp:positionH>
            <wp:positionV relativeFrom="paragraph">
              <wp:posOffset>447040</wp:posOffset>
            </wp:positionV>
            <wp:extent cx="2175510" cy="1438910"/>
            <wp:effectExtent l="1905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5" cstate="print">
                      <a:duotone>
                        <a:prstClr val="black"/>
                        <a:schemeClr val="bg1">
                          <a:tint val="45000"/>
                          <a:satMod val="400000"/>
                        </a:schemeClr>
                      </a:duotone>
                      <a:lum contrast="37000"/>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7">
                              <a14:imgEffect>
                                <a14:brightnessContrast bright="22000" contrast="620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0414"/>
                    <a:stretch/>
                  </pic:blipFill>
                  <pic:spPr bwMode="auto">
                    <a:xfrm>
                      <a:off x="0" y="0"/>
                      <a:ext cx="2175510" cy="143891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F226FF">
        <w:rPr>
          <w:rFonts w:ascii="Times New Roman" w:eastAsia="Times New Roman" w:hAnsi="Times New Roman" w:cs="Times New Roman"/>
          <w:b/>
          <w:bCs/>
          <w:sz w:val="24"/>
          <w:szCs w:val="24"/>
        </w:rPr>
        <w:t>SERÁ JUSTICIA.</w:t>
      </w:r>
    </w:p>
    <w:p w:rsidR="0093588D" w:rsidRDefault="00F226FF">
      <w:r w:rsidRPr="00F226FF">
        <w:drawing>
          <wp:anchor distT="0" distB="0" distL="0" distR="0" simplePos="0" relativeHeight="251659264" behindDoc="1" locked="0" layoutInCell="1" allowOverlap="1">
            <wp:simplePos x="0" y="0"/>
            <wp:positionH relativeFrom="page">
              <wp:posOffset>4630807</wp:posOffset>
            </wp:positionH>
            <wp:positionV relativeFrom="page">
              <wp:posOffset>3228229</wp:posOffset>
            </wp:positionV>
            <wp:extent cx="1412185" cy="1375576"/>
            <wp:effectExtent l="1905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rcRect l="18502" t="21499" r="59505" b="63972"/>
                    <a:stretch>
                      <a:fillRect/>
                    </a:stretch>
                  </pic:blipFill>
                  <pic:spPr>
                    <a:xfrm>
                      <a:off x="0" y="0"/>
                      <a:ext cx="1412185" cy="1375576"/>
                    </a:xfrm>
                    <a:prstGeom prst="rect">
                      <a:avLst/>
                    </a:prstGeom>
                  </pic:spPr>
                </pic:pic>
              </a:graphicData>
            </a:graphic>
          </wp:anchor>
        </w:drawing>
      </w:r>
    </w:p>
    <w:sectPr w:rsidR="0093588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0C7E"/>
    <w:multiLevelType w:val="multilevel"/>
    <w:tmpl w:val="F47E4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8146C9"/>
    <w:multiLevelType w:val="multilevel"/>
    <w:tmpl w:val="AF9C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A97A7D"/>
    <w:multiLevelType w:val="multilevel"/>
    <w:tmpl w:val="374C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2A7052"/>
    <w:multiLevelType w:val="multilevel"/>
    <w:tmpl w:val="A4C4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5B0BF9"/>
    <w:multiLevelType w:val="multilevel"/>
    <w:tmpl w:val="2518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useFELayout/>
  </w:compat>
  <w:rsids>
    <w:rsidRoot w:val="00CA4D22"/>
    <w:rsid w:val="0093588D"/>
    <w:rsid w:val="00CA4D22"/>
    <w:rsid w:val="00F226F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CA4D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A4D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4D2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A4D22"/>
    <w:rPr>
      <w:b/>
      <w:bCs/>
    </w:rPr>
  </w:style>
  <w:style w:type="character" w:styleId="nfasis">
    <w:name w:val="Emphasis"/>
    <w:basedOn w:val="Fuentedeprrafopredeter"/>
    <w:uiPriority w:val="20"/>
    <w:qFormat/>
    <w:rsid w:val="00CA4D22"/>
    <w:rPr>
      <w:i/>
      <w:iCs/>
    </w:rPr>
  </w:style>
</w:styles>
</file>

<file path=word/webSettings.xml><?xml version="1.0" encoding="utf-8"?>
<w:webSettings xmlns:r="http://schemas.openxmlformats.org/officeDocument/2006/relationships" xmlns:w="http://schemas.openxmlformats.org/wordprocessingml/2006/main">
  <w:divs>
    <w:div w:id="455873565">
      <w:bodyDiv w:val="1"/>
      <w:marLeft w:val="0"/>
      <w:marRight w:val="0"/>
      <w:marTop w:val="0"/>
      <w:marBottom w:val="0"/>
      <w:divBdr>
        <w:top w:val="none" w:sz="0" w:space="0" w:color="auto"/>
        <w:left w:val="none" w:sz="0" w:space="0" w:color="auto"/>
        <w:bottom w:val="none" w:sz="0" w:space="0" w:color="auto"/>
        <w:right w:val="none" w:sz="0" w:space="0" w:color="auto"/>
      </w:divBdr>
      <w:divsChild>
        <w:div w:id="39532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490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86858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877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62766">
          <w:blockQuote w:val="1"/>
          <w:marLeft w:val="720"/>
          <w:marRight w:val="720"/>
          <w:marTop w:val="100"/>
          <w:marBottom w:val="100"/>
          <w:divBdr>
            <w:top w:val="none" w:sz="0" w:space="0" w:color="auto"/>
            <w:left w:val="none" w:sz="0" w:space="0" w:color="auto"/>
            <w:bottom w:val="none" w:sz="0" w:space="0" w:color="auto"/>
            <w:right w:val="none" w:sz="0" w:space="0" w:color="auto"/>
          </w:divBdr>
        </w:div>
        <w:div w:id="933854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776213">
          <w:blockQuote w:val="1"/>
          <w:marLeft w:val="720"/>
          <w:marRight w:val="720"/>
          <w:marTop w:val="100"/>
          <w:marBottom w:val="100"/>
          <w:divBdr>
            <w:top w:val="none" w:sz="0" w:space="0" w:color="auto"/>
            <w:left w:val="none" w:sz="0" w:space="0" w:color="auto"/>
            <w:bottom w:val="none" w:sz="0" w:space="0" w:color="auto"/>
            <w:right w:val="none" w:sz="0" w:space="0" w:color="auto"/>
          </w:divBdr>
        </w:div>
        <w:div w:id="55780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022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272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641191">
      <w:bodyDiv w:val="1"/>
      <w:marLeft w:val="0"/>
      <w:marRight w:val="0"/>
      <w:marTop w:val="0"/>
      <w:marBottom w:val="0"/>
      <w:divBdr>
        <w:top w:val="none" w:sz="0" w:space="0" w:color="auto"/>
        <w:left w:val="none" w:sz="0" w:space="0" w:color="auto"/>
        <w:bottom w:val="none" w:sz="0" w:space="0" w:color="auto"/>
        <w:right w:val="none" w:sz="0" w:space="0" w:color="auto"/>
      </w:divBdr>
      <w:divsChild>
        <w:div w:id="1989942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917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967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354743">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09714">
          <w:blockQuote w:val="1"/>
          <w:marLeft w:val="720"/>
          <w:marRight w:val="720"/>
          <w:marTop w:val="100"/>
          <w:marBottom w:val="100"/>
          <w:divBdr>
            <w:top w:val="none" w:sz="0" w:space="0" w:color="auto"/>
            <w:left w:val="none" w:sz="0" w:space="0" w:color="auto"/>
            <w:bottom w:val="none" w:sz="0" w:space="0" w:color="auto"/>
            <w:right w:val="none" w:sz="0" w:space="0" w:color="auto"/>
          </w:divBdr>
        </w:div>
        <w:div w:id="54860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860751">
          <w:blockQuote w:val="1"/>
          <w:marLeft w:val="720"/>
          <w:marRight w:val="720"/>
          <w:marTop w:val="100"/>
          <w:marBottom w:val="100"/>
          <w:divBdr>
            <w:top w:val="none" w:sz="0" w:space="0" w:color="auto"/>
            <w:left w:val="none" w:sz="0" w:space="0" w:color="auto"/>
            <w:bottom w:val="none" w:sz="0" w:space="0" w:color="auto"/>
            <w:right w:val="none" w:sz="0" w:space="0" w:color="auto"/>
          </w:divBdr>
        </w:div>
        <w:div w:id="253902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364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1008</Words>
  <Characters>5544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ROXANA SENOFF</dc:creator>
  <cp:lastModifiedBy>ROXANA SENOFF</cp:lastModifiedBy>
  <cp:revision>2</cp:revision>
  <dcterms:created xsi:type="dcterms:W3CDTF">2025-06-10T11:03:00Z</dcterms:created>
  <dcterms:modified xsi:type="dcterms:W3CDTF">2025-06-10T11:03:00Z</dcterms:modified>
</cp:coreProperties>
</file>