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CAJERO, adscrito al área de caja,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Facturar y cobrar los consumos de los clientes conforme a los precios vigentes.</w:t>
      </w:r>
    </w:p>
    <w:p>
      <w:pPr>
        <w:pStyle w:val="ListParagraph"/>
        <w:numPr>
          <w:ilvl w:val="0"/>
          <w:numId w:val="2"/>
        </w:numPr>
      </w:pPr>
      <w:r>
        <w:t xml:space="preserve">Recibir y procesar los medios de pago autorizados y entregar los comprobantes correspondientes.</w:t>
      </w:r>
    </w:p>
    <w:p>
      <w:pPr>
        <w:pStyle w:val="ListParagraph"/>
        <w:numPr>
          <w:ilvl w:val="0"/>
          <w:numId w:val="2"/>
        </w:numPr>
      </w:pPr>
      <w:r>
        <w:t xml:space="preserve">Manejar la caja registradora, el fondo fijo y los documentos de cobro del turno asignado.</w:t>
      </w:r>
    </w:p>
    <w:p>
      <w:pPr>
        <w:pStyle w:val="ListParagraph"/>
        <w:numPr>
          <w:ilvl w:val="0"/>
          <w:numId w:val="2"/>
        </w:numPr>
      </w:pPr>
      <w:r>
        <w:t xml:space="preserve">Efectuar el arqueo y el cuadre de caja al cierre de cada turno y reportar las diferencias.</w:t>
      </w:r>
    </w:p>
    <w:p>
      <w:pPr>
        <w:pStyle w:val="ListParagraph"/>
        <w:numPr>
          <w:ilvl w:val="0"/>
          <w:numId w:val="2"/>
        </w:numPr>
      </w:pPr>
      <w:r>
        <w:t xml:space="preserve">Atender al público con cortesía, resolver consultas de facturación y canalizar los reclamos.</w:t>
      </w:r>
    </w:p>
    <w:p>
      <w:pPr>
        <w:pStyle w:val="ListParagraph"/>
        <w:numPr>
          <w:ilvl w:val="0"/>
          <w:numId w:val="2"/>
        </w:numPr>
      </w:pPr>
      <w:r>
        <w:t xml:space="preserve">Reportar al supervisor o al administrador cualquier faltante, irregularidad o intento de fraude.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caja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