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CARTILLA DE RIESGOS, HIGIENE Y MANIPULACIÓN DE ALIMENTOS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Área de cocina</w:t>
      </w:r>
    </w:p>
    <w:p>
      <w:pPr>
        <w:spacing w:after="120"/>
        <w:jc w:val="both"/>
      </w:pPr>
      <w:r>
        <w:t xml:space="preserve">Resumen de normas de higiene y buenas prácticas de manipulación de alimentos que todo el personal del área de cocina debe cumplir y conocer.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Higiene personal</w:t>
      </w:r>
    </w:p>
    <w:p>
      <w:pPr>
        <w:pStyle w:val="ListParagraph"/>
        <w:numPr>
          <w:ilvl w:val="0"/>
          <w:numId w:val="1"/>
        </w:numPr>
      </w:pPr>
      <w:r>
        <w:t xml:space="preserve">Baño diario y uniforme limpio; mantener el cabello recogido con gorra o red.</w:t>
      </w:r>
    </w:p>
    <w:p>
      <w:pPr>
        <w:pStyle w:val="ListParagraph"/>
        <w:numPr>
          <w:ilvl w:val="0"/>
          <w:numId w:val="1"/>
        </w:numPr>
      </w:pPr>
      <w:r>
        <w:t xml:space="preserve">Uñas cortas, limpias y sin esmalte; retirar anillos, pulseras y relojes.</w:t>
      </w:r>
    </w:p>
    <w:p>
      <w:pPr>
        <w:pStyle w:val="ListParagraph"/>
        <w:numPr>
          <w:ilvl w:val="0"/>
          <w:numId w:val="1"/>
        </w:numPr>
      </w:pPr>
      <w:r>
        <w:t xml:space="preserve">Lavado de manos con agua y jabón antes de manipular alimentos y tras ir al baño.</w:t>
      </w:r>
    </w:p>
    <w:p>
      <w:pPr>
        <w:pStyle w:val="ListParagraph"/>
        <w:numPr>
          <w:ilvl w:val="0"/>
          <w:numId w:val="1"/>
        </w:numPr>
      </w:pPr>
      <w:r>
        <w:t xml:space="preserve">Cubrir heridas con apósito impermeable y reportar enfermedades contagiosas.</w:t>
      </w:r>
    </w:p>
    <w:p>
      <w:pPr>
        <w:pStyle w:val="Heading1"/>
      </w:pPr>
      <w:r>
        <w:t xml:space="preserve">2. Manipulación segura de alimentos</w:t>
      </w:r>
    </w:p>
    <w:p>
      <w:pPr>
        <w:pStyle w:val="ListParagraph"/>
        <w:numPr>
          <w:ilvl w:val="0"/>
          <w:numId w:val="1"/>
        </w:numPr>
      </w:pPr>
      <w:r>
        <w:t xml:space="preserve">No manipular alimentos con síntomas de gripe, diarrea o lesiones en las manos.</w:t>
      </w:r>
    </w:p>
    <w:p>
      <w:pPr>
        <w:pStyle w:val="ListParagraph"/>
        <w:numPr>
          <w:ilvl w:val="0"/>
          <w:numId w:val="1"/>
        </w:numPr>
      </w:pPr>
      <w:r>
        <w:t xml:space="preserve">Usar utensilios limpios para cada tipo de alimento; evitar el contacto directo.</w:t>
      </w:r>
    </w:p>
    <w:p>
      <w:pPr>
        <w:pStyle w:val="ListParagraph"/>
        <w:numPr>
          <w:ilvl w:val="0"/>
          <w:numId w:val="1"/>
        </w:numPr>
      </w:pPr>
      <w:r>
        <w:t xml:space="preserve">Cocinar los alimentos a temperatura segura y evitar recalentar más de una vez.</w:t>
      </w:r>
    </w:p>
    <w:p>
      <w:pPr>
        <w:pStyle w:val="Heading1"/>
      </w:pPr>
      <w:r>
        <w:t xml:space="preserve">3. Cadena de frío y almacenamiento</w:t>
      </w:r>
    </w:p>
    <w:p>
      <w:pPr>
        <w:pStyle w:val="ListParagraph"/>
        <w:numPr>
          <w:ilvl w:val="0"/>
          <w:numId w:val="1"/>
        </w:numPr>
      </w:pPr>
      <w:r>
        <w:t xml:space="preserve">Conservar los perecederos refrigerados; no romper la cadena de frío.</w:t>
      </w:r>
    </w:p>
    <w:p>
      <w:pPr>
        <w:pStyle w:val="ListParagraph"/>
        <w:numPr>
          <w:ilvl w:val="0"/>
          <w:numId w:val="1"/>
        </w:numPr>
      </w:pPr>
      <w:r>
        <w:t xml:space="preserve">Separar alimentos crudos de cocidos para evitar la contaminación cruzada.</w:t>
      </w:r>
    </w:p>
    <w:p>
      <w:pPr>
        <w:pStyle w:val="ListParagraph"/>
        <w:numPr>
          <w:ilvl w:val="0"/>
          <w:numId w:val="1"/>
        </w:numPr>
      </w:pPr>
      <w:r>
        <w:t xml:space="preserve">Etiquetar y rotar los alimentos (primero en entrar, primero en salir).</w:t>
      </w:r>
    </w:p>
    <w:p>
      <w:pPr>
        <w:pStyle w:val="Heading1"/>
      </w:pPr>
      <w:r>
        <w:t xml:space="preserve">4. Limpieza y desinfección</w:t>
      </w:r>
    </w:p>
    <w:p>
      <w:pPr>
        <w:pStyle w:val="ListParagraph"/>
        <w:numPr>
          <w:ilvl w:val="0"/>
          <w:numId w:val="1"/>
        </w:numPr>
      </w:pPr>
      <w:r>
        <w:t xml:space="preserve">Limpiar y desinfectar superficies, tablas y utensilios después de cada uso.</w:t>
      </w:r>
    </w:p>
    <w:p>
      <w:pPr>
        <w:pStyle w:val="ListParagraph"/>
        <w:numPr>
          <w:ilvl w:val="0"/>
          <w:numId w:val="1"/>
        </w:numPr>
      </w:pPr>
      <w:r>
        <w:t xml:space="preserve">Usar paños y tablas de color distinto para crudos y cocidos.</w:t>
      </w:r>
    </w:p>
    <w:p>
      <w:pPr>
        <w:pStyle w:val="ListParagraph"/>
        <w:numPr>
          <w:ilvl w:val="0"/>
          <w:numId w:val="1"/>
        </w:numPr>
      </w:pPr>
      <w:r>
        <w:t xml:space="preserve">Manejar los químicos de limpieza diluidos y nunca mezclar cloro con amoníaco.</w:t>
      </w:r>
    </w:p>
    <w:p>
      <w:pPr>
        <w:pStyle w:val="Heading1"/>
      </w:pPr>
      <w:r>
        <w:t xml:space="preserve">5. Seguridad en el puesto</w:t>
      </w:r>
    </w:p>
    <w:p>
      <w:pPr>
        <w:pStyle w:val="ListParagraph"/>
        <w:numPr>
          <w:ilvl w:val="0"/>
          <w:numId w:val="1"/>
        </w:numPr>
      </w:pPr>
      <w:r>
        <w:t xml:space="preserve">Usar calzado antideslizante y limpiar de inmediato los derrames.</w:t>
      </w:r>
    </w:p>
    <w:p>
      <w:pPr>
        <w:pStyle w:val="ListParagraph"/>
        <w:numPr>
          <w:ilvl w:val="0"/>
          <w:numId w:val="1"/>
        </w:numPr>
      </w:pPr>
      <w:r>
        <w:t xml:space="preserve">Manejar cuchillos, freidoras y planchas con el EPP correspondiente.</w:t>
      </w:r>
    </w:p>
    <w:p>
      <w:pPr>
        <w:pStyle w:val="ListParagraph"/>
        <w:numPr>
          <w:ilvl w:val="0"/>
          <w:numId w:val="1"/>
        </w:numPr>
      </w:pPr>
      <w:r>
        <w:t xml:space="preserve">Reportar condiciones inseguras y conocer la ubicación de extintores y salidas.</w:t>
      </w:r>
    </w:p>
    <w:p>
      <w:pPr>
        <w:pStyle w:val="Heading1"/>
      </w:pPr>
      <w:r>
        <w:t xml:space="preserve">6. Acuse de recibo</w:t>
      </w:r>
    </w:p>
    <w:p>
      <w:pPr>
        <w:spacing w:after="120"/>
        <w:jc w:val="both"/>
      </w:pPr>
      <w:r>
        <w:t xml:space="preserve">Declaro que he recibido y leído esta cartilla y que me comprometo a cumplir las normas de higiene y manipulación de alimentos en ella descritas.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