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CHECKLIST IVSS / FAOV / INCES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Registros legales del trabajador — PARRILLA Y LUNCHERÍA ICABARU SRL</w:t>
      </w:r>
    </w:p>
    <w:p>
      <w:pPr>
        <w:spacing w:after="120"/>
        <w:jc w:val="both"/>
      </w:pPr>
      <w:r>
        <w:t xml:space="preserve">Control de inscripción y constancias ante los organismos de seguridad social y de formación. Marque cada casilla una vez obtenida la constancia correspondiente.</w:t>
      </w:r>
    </w:p>
    <w:p>
      <w:pPr>
        <w:pStyle w:val="Heading1"/>
      </w:pPr>
      <w:r>
        <w:t xml:space="preserve">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Constancias y trámites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Organismo</w:t>
            </w:r>
          </w:p>
        </w:tc>
        <w:tc>
          <w:p>
            <w:r>
              <w:rPr>
                <w:b/>
                <w:bCs/>
              </w:rPr>
              <w:t xml:space="preserve">Constancia / Trámite</w:t>
            </w:r>
          </w:p>
        </w:tc>
        <w:tc>
          <w:p>
            <w:r>
              <w:rPr>
                <w:b/>
                <w:bCs/>
              </w:rPr>
              <w:t xml:space="preserve">Obtenido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IVSS (número de afiliación)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IVSS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afiliación y cotizaciones al IVSS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FAOV (BVV)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FAOV / BVV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aportes al FAOV / BVV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 la empresa y del trabajador en el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INCES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declaración y aportes al INCES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Paro forzoso</w:t>
            </w:r>
          </w:p>
        </w:tc>
        <w:tc>
          <w:p>
            <w:r>
              <w:rPr>
                <w:b w:val="false"/>
                <w:bCs w:val="false"/>
              </w:rPr>
              <w:t xml:space="preserve">Inscripción del trabajador en el régimen de paro forzoso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RIF</w:t>
            </w:r>
          </w:p>
        </w:tc>
        <w:tc>
          <w:p>
            <w:r>
              <w:rPr>
                <w:b w:val="false"/>
                <w:bCs w:val="false"/>
              </w:rPr>
              <w:t xml:space="preserve">Constancia de RIF del trabajador</w:t>
            </w:r>
          </w:p>
        </w:tc>
        <w:tc>
          <w:p>
            <w:r>
              <w:rPr>
                <w:b w:val="false"/>
                <w:bCs w:val="false"/>
              </w:rPr>
              <w:t xml:space="preserve">[ ]</w:t>
            </w:r>
          </w:p>
        </w:tc>
      </w:tr>
    </w:tbl>
    <w:p>
      <w:pPr>
        <w:pStyle w:val="Heading1"/>
      </w:pPr>
      <w:r>
        <w:t xml:space="preserve">Base legal</w:t>
      </w:r>
    </w:p>
    <w:p>
      <w:pPr>
        <w:spacing w:after="120"/>
        <w:jc w:val="both"/>
      </w:pPr>
      <w:r>
        <w:t xml:space="preserve">La inscripción y el aporte a la seguridad social y al régimen prestacional de vivienda y hábitat se rigen por las normas siguientes: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 gestión: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Incorpore copia de cada constancia al expediente del trabajador y conserve el original cuando corresponda.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