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POLÍTICA DE USO DE REDES SOCIALES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La presente política orienta el uso de las redes sociales por parte del personal de PARRILLA Y LUNCHERÍA ICABARU SRL, tanto en el ámbito laboral como en el personal, para proteger la imagen de la empresa y los datos de clientes y compañeros.</w:t>
      </w:r>
    </w:p>
    <w:p>
      <w:pPr>
        <w:pStyle w:val="Heading1"/>
      </w:pPr>
      <w:r>
        <w:t xml:space="preserve">1. Uso personal</w:t>
      </w:r>
    </w:p>
    <w:p>
      <w:pPr>
        <w:pStyle w:val="ListParagraph"/>
        <w:numPr>
          <w:ilvl w:val="0"/>
          <w:numId w:val="2"/>
        </w:numPr>
      </w:pPr>
      <w:r>
        <w:t xml:space="preserve">El uso de redes sociales con fines personales se realiza fuera de la jornada y fuera de las áreas de atención al público.</w:t>
      </w:r>
    </w:p>
    <w:p>
      <w:pPr>
        <w:pStyle w:val="ListParagraph"/>
        <w:numPr>
          <w:ilvl w:val="0"/>
          <w:numId w:val="2"/>
        </w:numPr>
      </w:pPr>
      <w:r>
        <w:t xml:space="preserve">No se permite el uso del teléfono personal durante el servicio, salvo emergencias.</w:t>
      </w:r>
    </w:p>
    <w:p>
      <w:pPr>
        <w:pStyle w:val="Heading1"/>
      </w:pPr>
      <w:r>
        <w:t xml:space="preserve">2. Publicaciones sobre la empresa</w:t>
      </w:r>
    </w:p>
    <w:p>
      <w:pPr>
        <w:pStyle w:val="ListParagraph"/>
        <w:numPr>
          <w:ilvl w:val="0"/>
          <w:numId w:val="2"/>
        </w:numPr>
      </w:pPr>
      <w:r>
        <w:t xml:space="preserve">No se publica información interna, confidencial o no autorizada de la empresa.</w:t>
      </w:r>
    </w:p>
    <w:p>
      <w:pPr>
        <w:pStyle w:val="ListParagraph"/>
        <w:numPr>
          <w:ilvl w:val="0"/>
          <w:numId w:val="2"/>
        </w:numPr>
      </w:pPr>
      <w:r>
        <w:t xml:space="preserve">No se realizan publicaciones que afecten la reputación o la imagen de la empresa.</w:t>
      </w:r>
    </w:p>
    <w:p>
      <w:pPr>
        <w:pStyle w:val="ListParagraph"/>
        <w:numPr>
          <w:ilvl w:val="0"/>
          <w:numId w:val="2"/>
        </w:numPr>
      </w:pPr>
      <w:r>
        <w:t xml:space="preserve">La comunicación oficial corresponde únicamente a las personas designadas por la administración.</w:t>
      </w:r>
    </w:p>
    <w:p>
      <w:pPr>
        <w:pStyle w:val="Heading1"/>
      </w:pPr>
      <w:r>
        <w:t xml:space="preserve">3. Imagen de terceros</w:t>
      </w:r>
    </w:p>
    <w:p>
      <w:pPr>
        <w:pStyle w:val="ListParagraph"/>
        <w:numPr>
          <w:ilvl w:val="0"/>
          <w:numId w:val="2"/>
        </w:numPr>
      </w:pPr>
      <w:r>
        <w:t xml:space="preserve">No se difunden fotografías o videos de clientes o compañeros sin su consentimiento.</w:t>
      </w:r>
    </w:p>
    <w:p>
      <w:pPr>
        <w:pStyle w:val="ListParagraph"/>
        <w:numPr>
          <w:ilvl w:val="0"/>
          <w:numId w:val="2"/>
        </w:numPr>
      </w:pPr>
      <w:r>
        <w:t xml:space="preserve">Se respeta la dignidad y la privacidad de todas las personas.</w:t>
      </w:r>
    </w:p>
    <w:p>
      <w:pPr>
        <w:pStyle w:val="Heading1"/>
      </w:pPr>
      <w:r>
        <w:t xml:space="preserve">4. Uso de cuentas corporativas</w:t>
      </w:r>
    </w:p>
    <w:p>
      <w:pPr>
        <w:pStyle w:val="ListParagraph"/>
        <w:numPr>
          <w:ilvl w:val="0"/>
          <w:numId w:val="2"/>
        </w:numPr>
      </w:pPr>
      <w:r>
        <w:t xml:space="preserve">Las cuentas oficiales de la empresa se usan solo por las personas autorizadas y con las credenciales asignadas.</w:t>
      </w:r>
    </w:p>
    <w:p>
      <w:pPr>
        <w:pStyle w:val="ListParagraph"/>
        <w:numPr>
          <w:ilvl w:val="0"/>
          <w:numId w:val="2"/>
        </w:numPr>
      </w:pPr>
      <w:r>
        <w:t xml:space="preserve">Las credenciales son personales e intransferibles y se resguardan conforme a la política de confidencialidad.</w:t>
      </w:r>
    </w:p>
    <w:p>
      <w:pPr>
        <w:pStyle w:val="Heading1"/>
      </w:pPr>
      <w:r>
        <w:t xml:space="preserve">5. Consecuencias</w:t>
      </w:r>
    </w:p>
    <w:p>
      <w:pPr>
        <w:spacing w:after="120"/>
        <w:jc w:val="both"/>
      </w:pPr>
      <w:r>
        <w:t xml:space="preserve">El incumplimiento de esta política puede generar las sanciones previstas en las políticas internas y en el reglamento interno de trabajo, conforme a la ley.</w:t>
      </w:r>
    </w:p>
    <w:p>
      <w:pPr>
        <w:pStyle w:val="Heading1"/>
      </w:pPr>
      <w:r>
        <w:t xml:space="preserve">Aceptación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