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CONCEPTO JURÍDICO</w:t>
            </w:r>
          </w:p>
          <w:p>
            <w:pPr>
              <w:spacing w:before="0"/>
              <w:jc w:val="right"/>
            </w:pPr>
            <w:r>
              <w:rPr>
                <w:rFonts w:ascii="Calibri" w:hAnsi="Calibri" w:cs="Calibri"/>
                <w:b w:val="0"/>
                <w:i/>
                <w:color w:val="556575"/>
                <w:sz w:val="18"/>
              </w:rPr>
              <w:t>Honorarios profesionales</w:t>
            </w:r>
          </w:p>
          <w:p>
            <w:pPr>
              <w:spacing w:before="0"/>
              <w:jc w:val="right"/>
            </w:pPr>
            <w:r>
              <w:rPr>
                <w:rFonts w:ascii="Calibri" w:hAnsi="Calibri" w:cs="Calibri"/>
                <w:b w:val="0"/>
                <w:i w:val="0"/>
                <w:color w:val="9098A8"/>
                <w:sz w:val="16"/>
              </w:rPr>
              <w:t>Versión 1.0  ·  Dirección</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CONCEPTO TÉCNICO-JURÍDICO SOBRE HONORARIOS PROFESIONALES</w:t>
      </w:r>
    </w:p>
    <w:p>
      <w:pPr>
        <w:spacing w:before="0" w:after="200"/>
        <w:pBdr>
          <w:bottom w:val="single" w:sz="10" w:space="1" w:color="0F766E"/>
        </w:pBdr>
      </w:pPr>
    </w:p>
    <w:p>
      <w:pPr>
        <w:spacing w:after="160"/>
        <w:jc w:val="center"/>
      </w:pPr>
      <w:r>
        <w:rPr>
          <w:rFonts w:ascii="Calibri" w:hAnsi="Calibri" w:cs="Calibri"/>
          <w:b w:val="0"/>
          <w:i/>
          <w:color w:val="556575"/>
          <w:sz w:val="20"/>
        </w:rPr>
        <w:t>Médico(a) Veterinario(a) y Dog Groomer — ALIKA PETS / Grupo Caval 1003, C.A.</w:t>
      </w: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200" w:line="312" w:lineRule="auto"/>
        <w:jc w:val="both"/>
      </w:pPr>
      <w:r>
        <w:rPr>
          <w:rFonts w:ascii="Calibri" w:hAnsi="Calibri" w:cs="Calibri"/>
          <w:b/>
          <w:i w:val="0"/>
          <w:sz w:val="20"/>
        </w:rPr>
        <w:t>Ref: Concepto técnico-jurídico sobre la figura de honorarios profesionales.</w:t>
      </w:r>
    </w:p>
    <w:p>
      <w:pPr>
        <w:spacing w:before="0" w:after="160" w:line="312" w:lineRule="auto"/>
        <w:jc w:val="both"/>
      </w:pPr>
      <w:r>
        <w:rPr>
          <w:rFonts w:ascii="Calibri" w:hAnsi="Calibri" w:cs="Calibri"/>
          <w:b w:val="0"/>
          <w:i w:val="0"/>
          <w:sz w:val="20"/>
        </w:rPr>
        <w:t>Recibida su solicitud, procedemos a emitir el presente concepto técnico-jurídico con el objeto de establecer la viabilidad, alcance y características de la figura contractual de HONORARIOS PROFESIONALES para los servicios del Médico(a) Veterinario(a) y del Dog Groomer en ALIKA PETS.</w:t>
      </w:r>
    </w:p>
    <w:p>
      <w:pPr>
        <w:keepNext/>
        <w:spacing w:before="120" w:after="40"/>
        <w:jc w:val="left"/>
      </w:pPr>
      <w:r>
        <w:rPr>
          <w:rFonts w:ascii="Calibri" w:hAnsi="Calibri" w:cs="Calibri"/>
          <w:b/>
          <w:i w:val="0"/>
          <w:color w:val="0F766E"/>
          <w:sz w:val="22"/>
        </w:rPr>
        <w:t>I. ANTECEDENTES</w:t>
      </w:r>
    </w:p>
    <w:p>
      <w:pPr>
        <w:spacing w:before="0" w:after="80" w:line="312" w:lineRule="auto"/>
        <w:jc w:val="both"/>
      </w:pPr>
      <w:r>
        <w:rPr>
          <w:rFonts w:ascii="Calibri" w:hAnsi="Calibri" w:cs="Calibri"/>
          <w:b w:val="0"/>
          <w:i w:val="0"/>
          <w:sz w:val="20"/>
        </w:rPr>
        <w:t>GRUPO CAVAL 1003, C.A., identificada con RIF N° J501662533, marca comercial ALIKA PETS, dedicada a la actividad de clínica veterinaria, tienda de mascotas y peluquería canina, con domicilio en Av. Francisco de Miranda, Local N° 1, Los Teques, Estado Miranda, requiere formalizar la vinculación con dos (2) perfiles profesionales con características particulares: (i) Médico(a) Veterinario(a), profesión liberal regulada por la Ley de Ejercicio de la Medicina Veterinaria; y (ii) Dog Groomer (peluquero(a) canino), oficio técnico especializado con autonomía en la ejecución.</w:t>
      </w:r>
    </w:p>
    <w:p>
      <w:pPr>
        <w:spacing w:before="0" w:after="160" w:line="312" w:lineRule="auto"/>
        <w:jc w:val="both"/>
      </w:pPr>
      <w:r>
        <w:rPr>
          <w:rFonts w:ascii="Calibri" w:hAnsi="Calibri" w:cs="Calibri"/>
          <w:b w:val="0"/>
          <w:i w:val="0"/>
          <w:sz w:val="20"/>
        </w:rPr>
        <w:t>Ambos perfiles desarrollan labores que requieren un alto grado de autonomía técnica, juicio profesional independiente y disposición de tiempo flexible, lo que hace conveniente evaluar la figura de honorarios profesionales como alternativa a la relación de trabajo dependiente prevista en la LOTTT.</w:t>
      </w:r>
    </w:p>
    <w:p>
      <w:pPr>
        <w:keepNext/>
        <w:spacing w:before="120" w:after="40"/>
        <w:jc w:val="left"/>
      </w:pPr>
      <w:r>
        <w:rPr>
          <w:rFonts w:ascii="Calibri" w:hAnsi="Calibri" w:cs="Calibri"/>
          <w:b/>
          <w:i w:val="0"/>
          <w:color w:val="0F766E"/>
          <w:sz w:val="22"/>
        </w:rPr>
        <w:t>II. MARCO JURÍDICO APLICABLE</w:t>
      </w:r>
    </w:p>
    <w:p>
      <w:pPr>
        <w:spacing w:before="0" w:after="60" w:line="312" w:lineRule="auto"/>
        <w:jc w:val="both"/>
      </w:pPr>
      <w:r>
        <w:rPr>
          <w:rFonts w:ascii="Calibri" w:hAnsi="Calibri" w:cs="Calibri"/>
          <w:b w:val="0"/>
          <w:i w:val="0"/>
          <w:sz w:val="20"/>
        </w:rPr>
        <w:t>La figura de honorarios profesionales encuentra fundamento 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Ley Orgánica del Trabajo, los Trabajadores y las Trabajadoras (LOTTT) Art. 22 y 40:  </w:t>
      </w:r>
      <w:r>
        <w:rPr>
          <w:rFonts w:ascii="Calibri" w:hAnsi="Calibri" w:cs="Calibri"/>
          <w:b w:val="0"/>
          <w:i w:val="0"/>
          <w:color w:val="111827"/>
          <w:sz w:val="20"/>
        </w:rPr>
        <w:t>Reconoce la figura del trabajador no dependiente (Art. 40) y excluye del régimen laboral a quienes presten servicios sin subordinación ni dependencia.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Ley de Ejercicio de la Medicina Veterinaria:  </w:t>
      </w:r>
      <w:r>
        <w:rPr>
          <w:rFonts w:ascii="Calibri" w:hAnsi="Calibri" w:cs="Calibri"/>
          <w:b w:val="0"/>
          <w:i w:val="0"/>
          <w:color w:val="111827"/>
          <w:sz w:val="20"/>
        </w:rPr>
        <w:t>Las personas que ejerzan profesiones liberales o técnicas mediante el cobro de honorarios no están sujetas al régimen de la LOTTT, salvo que demuestren la existencia de la relación de dependencia (subordinación, horario, exclusividad, salario).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Código de Comercio y Código Civil:  </w:t>
      </w:r>
      <w:r>
        <w:rPr>
          <w:rFonts w:ascii="Calibri" w:hAnsi="Calibri" w:cs="Calibri"/>
          <w:b w:val="0"/>
          <w:i w:val="0"/>
          <w:color w:val="111827"/>
          <w:sz w:val="20"/>
        </w:rPr>
        <w:t>Regula la prestación de servicios profesionales independientes y la responsabilidad civil del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Ley de Impuesto sobre la Renta (ISLR) Art. 27:  </w:t>
      </w:r>
      <w:r>
        <w:rPr>
          <w:rFonts w:ascii="Calibri" w:hAnsi="Calibri" w:cs="Calibri"/>
          <w:b w:val="0"/>
          <w:i w:val="0"/>
          <w:color w:val="111827"/>
          <w:sz w:val="20"/>
        </w:rPr>
        <w:t>Los honorarios profesionales se gravan con retención del 3% en cabeza del contratista, y deben declararse en el Impuesto sobre la Renta (ISLR) del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Providencias SENIAT y normativa tributaria:  </w:t>
      </w:r>
      <w:r>
        <w:rPr>
          <w:rFonts w:ascii="Calibri" w:hAnsi="Calibri" w:cs="Calibri"/>
          <w:b w:val="0"/>
          <w:i w:val="0"/>
          <w:color w:val="111827"/>
          <w:sz w:val="20"/>
        </w:rPr>
        <w:t>El profesional independiente puede estar inscrito en el Régimen de Incapacitados o como contribuyente formal del IVA, según el caso.</w:t>
      </w:r>
    </w:p>
    <w:p>
      <w:pPr>
        <w:spacing w:after="80"/>
      </w:pPr>
    </w:p>
    <w:p>
      <w:pPr>
        <w:keepNext/>
        <w:spacing w:before="120" w:after="40"/>
        <w:jc w:val="left"/>
      </w:pPr>
      <w:r>
        <w:rPr>
          <w:rFonts w:ascii="Calibri" w:hAnsi="Calibri" w:cs="Calibri"/>
          <w:b/>
          <w:i w:val="0"/>
          <w:color w:val="0F766E"/>
          <w:sz w:val="22"/>
        </w:rPr>
        <w:t>III. DISTINCIÓN ENTRE RELACIÓN DE TRABAJO Y HONORARIOS PROFESIONALES</w:t>
      </w:r>
    </w:p>
    <w:p>
      <w:pPr>
        <w:spacing w:before="0" w:after="80" w:line="312" w:lineRule="auto"/>
        <w:jc w:val="both"/>
      </w:pPr>
      <w:r>
        <w:rPr>
          <w:rFonts w:ascii="Calibri" w:hAnsi="Calibri" w:cs="Calibri"/>
          <w:b w:val="0"/>
          <w:i w:val="0"/>
          <w:sz w:val="20"/>
        </w:rPr>
        <w:t>La jurisprudencia venezolana (TSJ Sala Social, sent. N° 0224 del 26/04/2011, entre otras) ha establecido que la diferencia esencial entre una relación de trabajo dependiente y un contrato de honorarios profesionales radica en la AUSENCIA o PRESENCIA de los siguientes elementos:</w:t>
      </w:r>
    </w:p>
    <w:tbl>
      <w:tblPr>
        <w:tblW w:type="auto" w:w="0"/>
        <w:jc w:val="center"/>
        <w:tblLayout w:type="fixed"/>
        <w:tblLook w:firstColumn="1" w:firstRow="1" w:lastColumn="0" w:lastRow="0" w:noHBand="0" w:noVBand="1" w:val="04A0"/>
      </w:tblPr>
      <w:tblGrid>
        <w:gridCol w:w="2551"/>
        <w:gridCol w:w="3685"/>
        <w:gridCol w:w="3402"/>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ELEMENTO</w:t>
            </w:r>
          </w:p>
        </w:tc>
        <w:tc>
          <w:tcPr>
            <w:tcW w:type="dxa" w:w="368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RELACIÓN DE TRABAJO (LOTTT)</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HONORARIOS PROFESIONALES</w:t>
            </w:r>
          </w:p>
        </w:tc>
      </w:tr>
      <w:tr>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Subordinación</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trabajador recibe órdenes directas del empleador.</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profesional ejecuta con autonomía técnica, sin subordinación.</w:t>
            </w:r>
          </w:p>
        </w:tc>
      </w:tr>
      <w:tr>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w:t>
            </w:r>
          </w:p>
        </w:tc>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Jornada fija (Art. 168-180 LOTTT).</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Horario flexible, definido por el profesional para cumplir los servicios.</w:t>
            </w:r>
          </w:p>
        </w:tc>
      </w:tr>
      <w:tr>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Exclusividad</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trabajador no puede atender otros clientes.</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profesional puede atender otros clientes (salvo cláusula de no competencia parcial).</w:t>
            </w:r>
          </w:p>
        </w:tc>
      </w:tr>
      <w:tr>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Remuneración</w:t>
            </w:r>
          </w:p>
        </w:tc>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Salario mensual/quincenal, pagadero conforme a LOTTT.</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Honorarios por servicio, mensualidad, o porcentaje. No es salario.</w:t>
            </w:r>
          </w:p>
        </w:tc>
      </w:tr>
      <w:tr>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Riesgo</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empleador asume el riesgo del negocio.</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El profesional asume su propio riesgo técnico y civil.</w:t>
            </w:r>
          </w:p>
        </w:tc>
      </w:tr>
      <w:tr>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Prestaciones</w:t>
            </w:r>
          </w:p>
        </w:tc>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Prestaciones sociales, utilidades, vacaciones, bono vacacional.</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No generan prestaciones sociales. Solo el pago acordado.</w:t>
            </w:r>
          </w:p>
        </w:tc>
      </w:tr>
      <w:tr>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Terminación</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Causales del Art. 79 LOTTT, indemnizaciones.</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Resolución por incumplimiento contractual, sin indemnizaciones laborales.</w:t>
            </w:r>
          </w:p>
        </w:tc>
      </w:tr>
    </w:tbl>
    <w:p>
      <w:pPr>
        <w:spacing w:after="120"/>
      </w:pPr>
    </w:p>
    <w:p>
      <w:pPr>
        <w:spacing w:before="0" w:after="160" w:line="312" w:lineRule="auto"/>
        <w:jc w:val="both"/>
      </w:pPr>
      <w:r>
        <w:rPr>
          <w:rFonts w:ascii="Calibri" w:hAnsi="Calibri" w:cs="Calibri"/>
          <w:b w:val="0"/>
          <w:i/>
          <w:color w:val="556575"/>
          <w:sz w:val="20"/>
        </w:rPr>
        <w:t>CRITERIO RECTOR (TSJ): La simple denominación del contrato no determina la naturaleza de la relación. Lo que define si existe relación de trabajo o contrato de honorarios es la REALIDAD DE LOS HECHOS, particularmente la existencia o no de los elementos de subordinación, horario fijo y exclusividad. Un contrato mal denominado como de honorarios, que en la práctica configure subordinación, será declarado RELACIÓN DE TRABAJO por los tribunales con todas las consecuencias laborales (prestaciones, antigüedad, indemnizaciones).</w:t>
      </w:r>
    </w:p>
    <w:p>
      <w:pPr>
        <w:keepNext/>
        <w:spacing w:before="120" w:after="40"/>
        <w:jc w:val="left"/>
      </w:pPr>
      <w:r>
        <w:rPr>
          <w:rFonts w:ascii="Calibri" w:hAnsi="Calibri" w:cs="Calibri"/>
          <w:b/>
          <w:i w:val="0"/>
          <w:color w:val="0F766E"/>
          <w:sz w:val="22"/>
        </w:rPr>
        <w:t>IV. RECOMENDACIÓN TÉCNICA</w:t>
      </w:r>
    </w:p>
    <w:p>
      <w:pPr>
        <w:spacing w:before="0" w:after="80" w:line="312" w:lineRule="auto"/>
        <w:jc w:val="both"/>
      </w:pPr>
      <w:r>
        <w:rPr>
          <w:rFonts w:ascii="Calibri" w:hAnsi="Calibri" w:cs="Calibri"/>
          <w:b w:val="0"/>
          <w:i w:val="0"/>
          <w:sz w:val="20"/>
        </w:rPr>
        <w:t>Con base en las particularidades de cada perfil, se emiten las siguientes recomendaciones:</w:t>
      </w:r>
    </w:p>
    <w:p>
      <w:pPr>
        <w:spacing w:before="0" w:after="60" w:line="312" w:lineRule="auto"/>
        <w:jc w:val="both"/>
      </w:pPr>
      <w:r>
        <w:rPr>
          <w:rFonts w:ascii="Calibri" w:hAnsi="Calibri" w:cs="Calibri"/>
          <w:b/>
          <w:i w:val="0"/>
          <w:color w:val="0F766E"/>
          <w:sz w:val="22"/>
        </w:rPr>
        <w:t>IV.1. Médico(a) Veterinario(a)</w:t>
      </w:r>
    </w:p>
    <w:p>
      <w:pPr>
        <w:spacing w:before="0" w:after="80" w:line="312" w:lineRule="auto"/>
        <w:jc w:val="both"/>
      </w:pPr>
      <w:r>
        <w:rPr>
          <w:rFonts w:ascii="Calibri" w:hAnsi="Calibri" w:cs="Calibri"/>
          <w:b w:val="0"/>
          <w:i w:val="0"/>
          <w:sz w:val="20"/>
        </w:rPr>
        <w:t>RECOMENDABLE la figura de HONORARIOS PROFESIONALES. La profesión veterinaria es una profesión liberal reconocida por la Ley de Ejercicio de la Medicina Veterinaria, con autonomía técnica plena. El MV decide diagnóstico, tratamiento y procedimientos; la clínica solo provee el espacio, equipos y pacientes. La responsabilidad civil profesional es del MV (con su seguro de responsabilidad civil profesional). El MV puede atender otros consultorios, clínicas o particulares fuera del horario pactado.</w:t>
      </w:r>
    </w:p>
    <w:p>
      <w:pPr>
        <w:spacing w:before="0" w:after="40" w:line="312" w:lineRule="auto"/>
        <w:jc w:val="both"/>
      </w:pPr>
      <w:r>
        <w:rPr>
          <w:rFonts w:ascii="Calibri" w:hAnsi="Calibri" w:cs="Calibri"/>
          <w:b/>
          <w:i w:val="0"/>
          <w:sz w:val="20"/>
        </w:rPr>
        <w:t>REQUISITOS para que la figura sea válida: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debe estar inscrito en el Colegio de Médicos Veterinarios de Venezuela (CMV).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debe tener RIF propio y emitir facturas a nombre de ALIKA PETS.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declara sus ingresos en ISLR como profesional independiente.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ALIKA PETS retiene el 3% de ISLR sobre los honorarios pagados (Art. 27 ISLR).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horario debe ser flexible (turnos acordados, no jornada fija de 8h).</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puede atender otros consultorios (cláusula de NO EXCLUSIVIDAD absoluta).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asume su propio seguro de responsabilidad civil profesional.</w:t>
      </w:r>
    </w:p>
    <w:p>
      <w:pPr>
        <w:spacing w:after="80"/>
      </w:pPr>
    </w:p>
    <w:p>
      <w:pPr>
        <w:spacing w:before="120" w:after="60" w:line="312" w:lineRule="auto"/>
        <w:jc w:val="both"/>
      </w:pPr>
      <w:r>
        <w:rPr>
          <w:rFonts w:ascii="Calibri" w:hAnsi="Calibri" w:cs="Calibri"/>
          <w:b/>
          <w:i w:val="0"/>
          <w:color w:val="0F766E"/>
          <w:sz w:val="22"/>
        </w:rPr>
        <w:t>IV.2. Dog Groomer (Peluquero Canino)</w:t>
      </w:r>
    </w:p>
    <w:p>
      <w:pPr>
        <w:spacing w:before="0" w:after="80" w:line="312" w:lineRule="auto"/>
        <w:jc w:val="both"/>
      </w:pPr>
      <w:r>
        <w:rPr>
          <w:rFonts w:ascii="Calibri" w:hAnsi="Calibri" w:cs="Calibri"/>
          <w:b w:val="0"/>
          <w:i w:val="0"/>
          <w:sz w:val="20"/>
        </w:rPr>
        <w:t>VIABLE la figura de HONORARIOS PROFESIONALES, con ciertas reservas. El oficio de peluquero canino no es una profesión liberal regulada por una ley de ejercicio específica, pero el groomer ejecuta sus servicios con autonomía técnica (cortes, baños, manejo del animal) y puede atender a otros clientes. Se recomienda documentar cuidadosamente la ausencia de los elementos de subordinación para evitar que un juez re-califique la relación como laboral dependiente.</w:t>
      </w:r>
    </w:p>
    <w:p>
      <w:pPr>
        <w:spacing w:before="0" w:after="40" w:line="312" w:lineRule="auto"/>
        <w:jc w:val="both"/>
      </w:pPr>
      <w:r>
        <w:rPr>
          <w:rFonts w:ascii="Calibri" w:hAnsi="Calibri" w:cs="Calibri"/>
          <w:b/>
          <w:i w:val="0"/>
          <w:sz w:val="20"/>
        </w:rPr>
        <w:t>REQUISITOS para que la figura sea válida: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groomer debe tener RIF propio y emitir recibos/facturas a ALIKA PETS.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groomer declara sus ingresos en ISLR (puede acogerse al régimen simplificado).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ALIKA PETS retiene el 1% (no profesional técnico con título) o el 3% si es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horario debe ser flexible (citas acordadas, no jornada fija).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groomer puede atender otros clientes en su tiempo no pactado con ALIKA PETS.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groomer debe llevar sus propias herramientas (tijeras, cuchillas) salvo acuerdo.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groomer asume el riesgo de su actividad (lesiones por mordeduras, cortes).</w:t>
      </w:r>
    </w:p>
    <w:p>
      <w:pPr>
        <w:spacing w:after="80"/>
      </w:pPr>
    </w:p>
    <w:p>
      <w:pPr>
        <w:keepNext/>
        <w:spacing w:before="120" w:after="40"/>
        <w:jc w:val="left"/>
      </w:pPr>
      <w:r>
        <w:rPr>
          <w:rFonts w:ascii="Calibri" w:hAnsi="Calibri" w:cs="Calibri"/>
          <w:b/>
          <w:i w:val="0"/>
          <w:color w:val="0F766E"/>
          <w:sz w:val="22"/>
        </w:rPr>
        <w:t>V. DISCRIMINACIÓN DE HONORARIOS Y BENEFICIOS</w:t>
      </w:r>
    </w:p>
    <w:p>
      <w:pPr>
        <w:spacing w:before="0" w:after="80" w:line="312" w:lineRule="auto"/>
        <w:jc w:val="both"/>
      </w:pPr>
      <w:r>
        <w:rPr>
          <w:rFonts w:ascii="Calibri" w:hAnsi="Calibri" w:cs="Calibri"/>
          <w:b w:val="0"/>
          <w:i w:val="0"/>
          <w:sz w:val="20"/>
        </w:rPr>
        <w:t>El monto mensual de USD 250,00 que ALIKA PETS pagará al profesional se discrimina así:</w:t>
      </w:r>
    </w:p>
    <w:tbl>
      <w:tblPr>
        <w:tblW w:type="auto" w:w="0"/>
        <w:jc w:val="center"/>
        <w:tblLayout w:type="fixed"/>
        <w:tblLook w:firstColumn="1" w:firstRow="1" w:lastColumn="0" w:lastRow="0" w:noHBand="0" w:noVBand="1" w:val="04A0"/>
      </w:tblPr>
      <w:tblGrid>
        <w:gridCol w:w="340"/>
        <w:gridCol w:w="3685"/>
        <w:gridCol w:w="1134"/>
        <w:gridCol w:w="1134"/>
        <w:gridCol w:w="3118"/>
      </w:tblGrid>
      <w:tr>
        <w:tc>
          <w:tcPr>
            <w:tcW w:type="dxa" w:w="34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368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113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MENSUAL</w:t>
            </w:r>
          </w:p>
        </w:tc>
        <w:tc>
          <w:tcPr>
            <w:tcW w:type="dxa" w:w="113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QUINCENAL</w:t>
            </w:r>
          </w:p>
        </w:tc>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1</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Honorarios profesionales base</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$ 50,00</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$ 25,00</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HONORARIOS — Contraprestación por servicios profesionales.</w:t>
            </w:r>
          </w:p>
        </w:tc>
      </w:tr>
      <w:tr>
        <w:tc>
          <w:tcPr>
            <w:tcW w:type="dxa" w:w="34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2</w:t>
            </w:r>
          </w:p>
        </w:tc>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Bono de Alimentación (Cestaticket)</w:t>
            </w:r>
          </w:p>
        </w:tc>
        <w:tc>
          <w:tcPr>
            <w:tcW w:type="dxa" w:w="113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$ 80,00</w:t>
            </w:r>
          </w:p>
        </w:tc>
        <w:tc>
          <w:tcPr>
            <w:tcW w:type="dxa" w:w="113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BENEFICIO — Asistencia alimentaria. No es salario en honorarios.</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3</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Bono de Buen Vivir</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$ 20,00</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BENEFICIO NO REMUNERATIVO — Bono extraordinario asistencial.</w:t>
            </w:r>
          </w:p>
        </w:tc>
      </w:tr>
      <w:tr>
        <w:tc>
          <w:tcPr>
            <w:tcW w:type="dxa" w:w="34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4</w:t>
            </w:r>
          </w:p>
        </w:tc>
        <w:tc>
          <w:tcPr>
            <w:tcW w:type="dxa" w:w="368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Bono de Transporte</w:t>
            </w:r>
          </w:p>
        </w:tc>
        <w:tc>
          <w:tcPr>
            <w:tcW w:type="dxa" w:w="113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13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$ 20,00</w:t>
            </w:r>
          </w:p>
        </w:tc>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BENEFICIO NO REMUNERATIVO — Reembolso de gastos de traslado.</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5</w:t>
            </w:r>
          </w:p>
        </w:tc>
        <w:tc>
          <w:tcPr>
            <w:tcW w:type="dxa" w:w="368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Otros beneficios</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13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$ 20,00</w:t>
            </w:r>
          </w:p>
        </w:tc>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BENEFICIO NO REMUNERATIVO — Ayudas, incentivos, dotación.</w:t>
            </w:r>
          </w:p>
        </w:tc>
      </w:tr>
      <w:tr>
        <w:tc>
          <w:tcPr>
            <w:tcW w:type="dxa" w:w="340"/>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p>
        </w:tc>
        <w:tc>
          <w:tcPr>
            <w:tcW w:type="dxa" w:w="3685"/>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Calibri" w:hAnsi="Calibri" w:cs="Calibri"/>
                <w:b/>
                <w:i w:val="0"/>
                <w:color w:val="FFFFFF"/>
                <w:sz w:val="18"/>
              </w:rPr>
              <w:t>TOTAL MENSUAL</w:t>
            </w:r>
          </w:p>
        </w:tc>
        <w:tc>
          <w:tcPr>
            <w:tcW w:type="dxa" w:w="1134"/>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20"/>
              </w:rPr>
              <w:t>$ 250,00</w:t>
            </w:r>
          </w:p>
        </w:tc>
        <w:tc>
          <w:tcPr>
            <w:tcW w:type="dxa" w:w="1134"/>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20"/>
              </w:rPr>
              <w:t>$ 125,00</w:t>
            </w:r>
          </w:p>
        </w:tc>
        <w:tc>
          <w:tcPr>
            <w:tcW w:type="dxa" w:w="3118"/>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Calibri" w:hAnsi="Calibri" w:cs="Calibri"/>
                <w:b w:val="0"/>
                <w:i w:val="0"/>
                <w:color w:val="FFFFFF"/>
                <w:sz w:val="16"/>
              </w:rPr>
              <w:t>Pago quincenal</w:t>
            </w:r>
          </w:p>
        </w:tc>
      </w:tr>
    </w:tbl>
    <w:p>
      <w:pPr>
        <w:spacing w:after="120"/>
      </w:pPr>
    </w:p>
    <w:p>
      <w:pPr>
        <w:spacing w:before="0" w:after="160" w:line="312" w:lineRule="auto"/>
        <w:jc w:val="both"/>
      </w:pPr>
      <w:r>
        <w:rPr>
          <w:rFonts w:ascii="Calibri" w:hAnsi="Calibri" w:cs="Calibri"/>
          <w:b/>
          <w:i w:val="0"/>
          <w:color w:val="B91C1C"/>
          <w:sz w:val="20"/>
        </w:rPr>
        <w:t>IMPORTANTE: Por tratarse de HONORARIOS PROFESIONALES y NO de relación de trabajo, estos pagos NO generan prestaciones sociales, antigüedad, utilidades, vacaciones, bono vacacional ni indemnizaciones laborales. El profesional solo tiene derecho al pago de los honorarios y beneficios acordados mientras dure el contrato.</w:t>
      </w:r>
    </w:p>
    <w:p>
      <w:pPr>
        <w:keepNext/>
        <w:spacing w:before="120" w:after="40"/>
        <w:jc w:val="left"/>
      </w:pPr>
      <w:r>
        <w:rPr>
          <w:rFonts w:ascii="Calibri" w:hAnsi="Calibri" w:cs="Calibri"/>
          <w:b/>
          <w:i w:val="0"/>
          <w:color w:val="0F766E"/>
          <w:sz w:val="22"/>
        </w:rPr>
        <w:t>VI. OBLIGACIONES TRIBUTARIAS</w:t>
      </w:r>
    </w:p>
    <w:p>
      <w:pPr>
        <w:spacing w:before="0" w:after="60" w:line="312" w:lineRule="auto"/>
        <w:jc w:val="both"/>
      </w:pPr>
      <w:r>
        <w:rPr>
          <w:rFonts w:ascii="Calibri" w:hAnsi="Calibri" w:cs="Calibri"/>
          <w:b/>
          <w:i w:val="0"/>
          <w:color w:val="0F766E"/>
          <w:sz w:val="20"/>
        </w:rPr>
        <w:t>ALIKA PETS (el contratante) debe: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Retener el 3% del ISLR sobre los honorarios pagados al Médico Veterinario (profesional universitario).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Retener el 1% del ISLR sobre los honorarios pagados al Dog Groomer (no profesional universitario, encomendado).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Emitir comprobante de retención mensual y entregarlo al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Declarar y enterar las retenciones al SENIAT dentro de los primeros 15 días del mes siguiente.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Llevar registro de pagos en libro de compras/ventas.</w:t>
      </w:r>
    </w:p>
    <w:p>
      <w:pPr>
        <w:spacing w:after="80"/>
      </w:pPr>
    </w:p>
    <w:p>
      <w:pPr>
        <w:spacing w:before="0" w:after="60" w:line="312" w:lineRule="auto"/>
        <w:jc w:val="both"/>
      </w:pPr>
      <w:r>
        <w:rPr>
          <w:rFonts w:ascii="Calibri" w:hAnsi="Calibri" w:cs="Calibri"/>
          <w:b/>
          <w:i w:val="0"/>
          <w:color w:val="0F766E"/>
          <w:sz w:val="20"/>
        </w:rPr>
        <w:t>El profesional contratado debe: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Tener RIF propio vigente.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Emitir factura o recibo por cada pago recibido (consecutivos, con N° de control, RIF).</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Declarar y pagar el ISLR anualmente (declaración definitiva antes del 31/03).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Si es profesional universitario (MV), inscribirse en el CMV y mantener colegiatura vigente.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El MV debe tener seguro de responsabilidad civil profesional.</w:t>
      </w:r>
    </w:p>
    <w:p>
      <w:pPr>
        <w:spacing w:after="160"/>
      </w:pPr>
    </w:p>
    <w:p>
      <w:pPr>
        <w:keepNext/>
        <w:spacing w:before="120" w:after="40"/>
        <w:jc w:val="left"/>
      </w:pPr>
      <w:r>
        <w:rPr>
          <w:rFonts w:ascii="Calibri" w:hAnsi="Calibri" w:cs="Calibri"/>
          <w:b/>
          <w:i w:val="0"/>
          <w:color w:val="0F766E"/>
          <w:sz w:val="22"/>
        </w:rPr>
        <w:t>VII. RIESGOS Y CAUTELAS</w:t>
      </w:r>
    </w:p>
    <w:p>
      <w:pPr>
        <w:spacing w:before="0" w:after="80" w:line="312" w:lineRule="auto"/>
        <w:jc w:val="both"/>
      </w:pPr>
      <w:r>
        <w:rPr>
          <w:rFonts w:ascii="Calibri" w:hAnsi="Calibri" w:cs="Calibri"/>
          <w:b w:val="0"/>
          <w:i w:val="0"/>
          <w:sz w:val="20"/>
        </w:rPr>
        <w:t>Se identifican los siguientes riesgos jurídicos que deben ser mitigados con la correcta ejecución del contrato: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Riesgo de re-calificación laboral:  </w:t>
      </w:r>
      <w:r>
        <w:rPr>
          <w:rFonts w:ascii="Calibri" w:hAnsi="Calibri" w:cs="Calibri"/>
          <w:b w:val="0"/>
          <w:i w:val="0"/>
          <w:color w:val="111827"/>
          <w:sz w:val="20"/>
        </w:rPr>
        <w:t>Si en la práctica se configuran los elementos de subordinación (órdenes directas continuadas, horario fijo, prohibición de atender otros clientes), el juez puede re-calificar la relación como laboral dependiente, con todas las consecuencias (prestaciones, indemnizaciones, multas).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Riesgo tributario:  </w:t>
      </w:r>
      <w:r>
        <w:rPr>
          <w:rFonts w:ascii="Calibri" w:hAnsi="Calibri" w:cs="Calibri"/>
          <w:b w:val="0"/>
          <w:i w:val="0"/>
          <w:color w:val="111827"/>
          <w:sz w:val="20"/>
        </w:rPr>
        <w:t>Si ALIKA PETS no retiene el ISLR correspondiente, será responsable solidaria por el impuesto no retenido más intereses y multas.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Riesgo de responsabilidad civil:  </w:t>
      </w:r>
      <w:r>
        <w:rPr>
          <w:rFonts w:ascii="Calibri" w:hAnsi="Calibri" w:cs="Calibri"/>
          <w:b w:val="0"/>
          <w:i w:val="0"/>
          <w:color w:val="111827"/>
          <w:sz w:val="20"/>
        </w:rPr>
        <w:t>El MV responde civilmente por su actuar profesional (mala praxis). El groomer responde por lesiones a las mascotas. ALIKA PETS responde subsidiariamente solo si se demuestra culpa de la empresa (ej. equipos defectuosos).</w:t>
      </w:r>
    </w:p>
    <w:p>
      <w:pPr>
        <w:spacing w:after="160"/>
      </w:pPr>
    </w:p>
    <w:p>
      <w:pPr>
        <w:spacing w:before="0" w:after="160" w:line="312" w:lineRule="auto"/>
        <w:jc w:val="both"/>
      </w:pPr>
      <w:r>
        <w:rPr>
          <w:rFonts w:ascii="Calibri" w:hAnsi="Calibri" w:cs="Calibri"/>
          <w:b w:val="0"/>
          <w:i/>
          <w:color w:val="556575"/>
          <w:sz w:val="20"/>
        </w:rPr>
        <w:t>Para mitigar estos riesgos, los contratos deben: (i) dejar constancia expresa de la ausencia de subordinación; (ii) fijar horarios por turnos acordados, no jornada fija; (iii) reconocer la libertad de atender otros clientes; (iv) exigir facturación mensual del profesional; (v) retener el ISLR correspondiente; y (vi) documentar la autonomía técnica del profesional en la ejecución de los servicios.</w:t>
      </w:r>
    </w:p>
    <w:p>
      <w:pPr>
        <w:keepNext/>
        <w:spacing w:before="120" w:after="40"/>
        <w:jc w:val="left"/>
      </w:pPr>
      <w:r>
        <w:rPr>
          <w:rFonts w:ascii="Calibri" w:hAnsi="Calibri" w:cs="Calibri"/>
          <w:b/>
          <w:i w:val="0"/>
          <w:color w:val="0F766E"/>
          <w:sz w:val="22"/>
        </w:rPr>
        <w:t>VIII. CONCLUSIÓN</w:t>
      </w:r>
    </w:p>
    <w:p>
      <w:pPr>
        <w:spacing w:before="0" w:after="80" w:line="312" w:lineRule="auto"/>
        <w:jc w:val="both"/>
      </w:pPr>
      <w:r>
        <w:rPr>
          <w:rFonts w:ascii="Calibri" w:hAnsi="Calibri" w:cs="Calibri"/>
          <w:b w:val="0"/>
          <w:i w:val="0"/>
          <w:sz w:val="20"/>
        </w:rPr>
        <w:t>Es JURÍDICAMENTE VIABLE la figura de HONORARIOS PROFESIONALES para vincular a ALIKA PETS con el Médico(a) Veterinario(a) y el Dog Groomer, siempre que se cumplan estrictamente los siguientes requisitos: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Suscripción de contrato de honorarios profesionales por escrito, con constancia expresa de autonomía.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Ausencia real de subordinación, horario fijo y exclusividad absoluta.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Cumplimiento de las obligaciones tributarias (retenciones ISLR, facturación).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Inscripción del profesional en el CMV (para MV) y mantenimiento de RIF propio (para ambos).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Suscripción de seguro de responsabilidad civil profesional (MV) y declaración anual ISLR.</w:t>
      </w:r>
    </w:p>
    <w:p>
      <w:pPr>
        <w:spacing w:after="80"/>
      </w:pPr>
    </w:p>
    <w:p>
      <w:pPr>
        <w:spacing w:before="0" w:after="160" w:line="312" w:lineRule="auto"/>
        <w:jc w:val="both"/>
      </w:pPr>
      <w:r>
        <w:rPr>
          <w:rFonts w:ascii="Calibri" w:hAnsi="Calibri" w:cs="Calibri"/>
          <w:b w:val="0"/>
          <w:i/>
          <w:color w:val="556575"/>
          <w:sz w:val="20"/>
        </w:rPr>
        <w:t>Se anexan a este concepto técnico los modelos de contrato de honorarios profesionales para Médico(a) Veterinario(a) y para Dog Groomer, debidamente alineados con los criterios aquí expuestos.</w:t>
      </w:r>
    </w:p>
    <w:p>
      <w:pPr>
        <w:spacing w:before="0" w:after="200" w:line="312" w:lineRule="auto"/>
        <w:jc w:val="both"/>
      </w:pPr>
      <w:r>
        <w:rPr>
          <w:rFonts w:ascii="Calibri" w:hAnsi="Calibri" w:cs="Calibri"/>
          <w:b w:val="0"/>
          <w:i w:val="0"/>
          <w:sz w:val="20"/>
        </w:rPr>
        <w:t>En la ciudad de Los Teques, Estado Miranda, a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ASESORÍA LEGAL</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Concepto Honorarios Profesionales v1.0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