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Profesional Veterinario(a)</w:t>
            </w:r>
          </w:p>
          <w:p>
            <w:pPr>
              <w:spacing w:before="0"/>
              <w:jc w:val="right"/>
            </w:pPr>
            <w:r>
              <w:rPr>
                <w:rFonts w:ascii="Calibri" w:hAnsi="Calibri" w:cs="Calibri"/>
                <w:b w:val="0"/>
                <w:i w:val="0"/>
                <w:color w:val="9098A8"/>
                <w:sz w:val="16"/>
              </w:rPr>
              <w:t>Versión 1.0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Médico(a) Veterinario(a)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inscrito(a) en el Colegio de Médicos Veterinarios de Venezuela (CMV) bajo el N° __________________, con RIF personal N° __________________,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profesionales de MEDICINA VETERINARIA, en su carácter de profesional liberal independiente, comprendiendo entre otras: consultas clínicas generales y especializadas; procedimientos quirúrgicos; atención de urgencias y emergencias; realización e interpretación de exámenes complementarios (radiografías, ecografías, laboratorios); supervisión de pacientes hospitalizados; aplicación de vacunas y pautas de desparasitación; redacción y firma de recetas, certificados e informes médicos; y demás servicios propios del ejercicio profesional veterinario.</w:t>
      </w:r>
    </w:p>
    <w:p>
      <w:pPr>
        <w:spacing w:before="0" w:after="120" w:line="312" w:lineRule="auto"/>
        <w:jc w:val="both"/>
      </w:pPr>
      <w:r>
        <w:rPr>
          <w:rFonts w:ascii="Calibri" w:hAnsi="Calibri" w:cs="Calibri"/>
          <w:b w:val="0"/>
          <w:i w:val="0"/>
          <w:sz w:val="20"/>
        </w:rPr>
        <w:t>Los servicios se prestarán CON PLENA AUTONOMÍA TÉCNICA. EL PROFESIONAL decidirá libremente el diagnóstico, tratamiento, procedimiento y medicación de cada paciente, conforme a su juicio clínico y a las normas del ejercicio profesional. LA EMPRESA reconoce esta autonomía técnica y NO impartirá instrucciones que afecten el criterio profesional del PROFESIONAL.</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PROFESIONALES BAJO LA MODALIDAD DE HONORARIOS, conforme al artículo 40 de la Ley Orgánica del Trabajo, los Trabajadores y las Trabajadoras (LOTTT), a la Ley de Ejercicio de la Medicina Veterinaria y a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profesional liberal independiente, sin relación de subordinación ni dependencia respecto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tiempo y métodos de trabajo de manera autónoma, sujeto únicamente a los horarios de turnos acordados y a la entrega de resultados.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prestar servicios a otros consultorios, clínicas y particulares, en horarios distintos a los pactados con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PROFESIONALES, sin generar prestaciones sociales, utilidades, vacaciones, bono vacacional ni indemnizaciones laborales de ninguna naturaleza.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Asumen riesgo:  </w:t>
      </w:r>
      <w:r>
        <w:rPr>
          <w:rFonts w:ascii="Calibri" w:hAnsi="Calibri" w:cs="Calibri"/>
          <w:b w:val="0"/>
          <w:i w:val="0"/>
          <w:color w:val="111827"/>
          <w:sz w:val="20"/>
        </w:rPr>
        <w:t>EL PROFESIONAL asume el riesgo técnico y civil de su actuación profesional, debiendo mantener vigente póliza de Seguro de Responsabilidad Civil Profesional.</w:t>
      </w:r>
    </w:p>
    <w:p>
      <w:pPr>
        <w:spacing w:after="80"/>
      </w:pPr>
    </w:p>
    <w:p>
      <w:pPr>
        <w:keepNext/>
        <w:spacing w:before="120" w:after="40"/>
        <w:jc w:val="left"/>
      </w:pPr>
      <w:r>
        <w:rPr>
          <w:rFonts w:ascii="Calibri" w:hAnsi="Calibri" w:cs="Calibri"/>
          <w:b/>
          <w:i w:val="0"/>
          <w:color w:val="0F766E"/>
          <w:sz w:val="22"/>
        </w:rPr>
        <w:t>CLÁUSULA TERCERA: HORARIOS Y TURNOS</w:t>
      </w:r>
    </w:p>
    <w:p>
      <w:pPr>
        <w:spacing w:before="0" w:after="80" w:line="312" w:lineRule="auto"/>
        <w:jc w:val="both"/>
      </w:pPr>
      <w:r>
        <w:rPr>
          <w:rFonts w:ascii="Calibri" w:hAnsi="Calibri" w:cs="Calibri"/>
          <w:b w:val="0"/>
          <w:i w:val="0"/>
          <w:sz w:val="20"/>
        </w:rPr>
        <w:t>Las partes acuerdan que EL PROFESIONAL prestará sus servicios en turnos flexibles, conforme al siguiente esquema: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Días: de lunes a sábado (con un día de descanso acordado semanal).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Turno: _____ horas a _____ horas (con receso de 1 hora para almuerzo).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Guardias de emergencia: ____ veces al mes (según calendario rotativo).</w:t>
      </w:r>
    </w:p>
    <w:p>
      <w:pPr>
        <w:spacing w:before="0" w:after="120" w:line="312" w:lineRule="auto"/>
        <w:jc w:val="both"/>
      </w:pPr>
      <w:r>
        <w:rPr>
          <w:rFonts w:ascii="Calibri" w:hAnsi="Calibri" w:cs="Calibri"/>
          <w:b w:val="0"/>
          <w:i w:val="0"/>
          <w:sz w:val="20"/>
        </w:rPr>
        <w:t>EL PROFESIONAL podrá modificar la distribución semanal de sus turnos previa coordinación con LA EMPRESA, siempre que asegure la cobertura mínima pactada. Esta flexibilidad horaria es esencial para preservar la naturaleza no laboral del contrato.</w:t>
      </w:r>
    </w:p>
    <w:p>
      <w:pPr>
        <w:keepNext/>
        <w:spacing w:before="120" w:after="40"/>
        <w:jc w:val="left"/>
      </w:pPr>
      <w:r>
        <w:rPr>
          <w:rFonts w:ascii="Calibri" w:hAnsi="Calibri" w:cs="Calibri"/>
          <w:b/>
          <w:i w:val="0"/>
          <w:color w:val="0F766E"/>
          <w:sz w:val="22"/>
        </w:rPr>
        <w:t>CLÁUSULA CUARTA: HONORARIOS Y BENEFICIOS</w:t>
      </w:r>
    </w:p>
    <w:p>
      <w:pPr>
        <w:spacing w:before="0" w:after="80" w:line="312" w:lineRule="auto"/>
        <w:jc w:val="both"/>
      </w:pPr>
      <w:r>
        <w:rPr>
          <w:rFonts w:ascii="Calibri" w:hAnsi="Calibri" w:cs="Calibri"/>
          <w:b w:val="0"/>
          <w:i w:val="0"/>
          <w:sz w:val="20"/>
        </w:rPr>
        <w:t>Por los servicios profesionales prestados, LA EMPRESA pagará a EL PROFESIONAL una remuneración mensual total de USD 250,00 (DÓLARES DE LOS ESTADOS UNIDOS DE AMÉRICA DOSCIENTOS CINCUENTA CON 00/100), discriminada así:</w:t>
      </w:r>
    </w:p>
    <w:tbl>
      <w:tblPr>
        <w:tblW w:type="auto" w:w="0"/>
        <w:jc w:val="center"/>
        <w:tblLayout w:type="fixed"/>
        <w:tblLook w:firstColumn="1" w:firstRow="1" w:lastColumn="0" w:lastRow="0" w:noHBand="0" w:noVBand="1" w:val="04A0"/>
      </w:tblPr>
      <w:tblGrid>
        <w:gridCol w:w="340"/>
        <w:gridCol w:w="4252"/>
        <w:gridCol w:w="1417"/>
        <w:gridCol w:w="1417"/>
      </w:tblGrid>
      <w:tr>
        <w:tc>
          <w:tcPr>
            <w:tcW w:type="dxa" w:w="340"/>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w:t>
            </w:r>
          </w:p>
        </w:tc>
        <w:tc>
          <w:tcPr>
            <w:tcW w:type="dxa" w:w="425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MENSUAL</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QUINCENAL</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1</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Honorarios profesionales base (servicios veterinarios)</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$ 50,00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$ 25,00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2</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Alimentación (Cestaticket)</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$ 80,00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3</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Buen Vivir (asistencial)</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4</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Transporte (reembolso gastos)</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5</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Otros beneficios (uniformes, dotación, incentivos)</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p>
        </w:tc>
        <w:tc>
          <w:tcPr>
            <w:tcW w:type="dxa" w:w="4252"/>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r>
              <w:rPr>
                <w:rFonts w:ascii="Calibri" w:hAnsi="Calibri" w:cs="Calibri"/>
                <w:b/>
                <w:i w:val="0"/>
                <w:color w:val="FFFFFF"/>
                <w:sz w:val="20"/>
              </w:rPr>
              <w:t>TOTAL MENSUAL</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$ 250,00</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$ 125,00</w:t>
            </w:r>
          </w:p>
        </w:tc>
      </w:tr>
    </w:tbl>
    <w:p>
      <w:pPr>
        <w:spacing w:after="80"/>
      </w:pPr>
    </w:p>
    <w:p>
      <w:pPr>
        <w:spacing w:before="0" w:after="80" w:line="312" w:lineRule="auto"/>
        <w:jc w:val="both"/>
      </w:pPr>
      <w:r>
        <w:rPr>
          <w:rFonts w:ascii="Calibri" w:hAnsi="Calibri" w:cs="Calibri"/>
          <w:b w:val="0"/>
          <w:i w:val="0"/>
          <w:sz w:val="20"/>
        </w:rPr>
        <w:t>FORMA DE PAGO: Quincenal, los días 15 y último de cada mes, mediante transferencia bancaria a la cuenta del PROFESIONAL (Banco: _______________, Cuenta N°: _______________). El pago de honorarios estará sujeto a la retención del 3% por concepto de Impuesto sobre la Renta (ISLR) conforme al artículo 27 de la Ley de ISLR, retención que LA EMPRESA enterará al SENIAT dentro de los primeros 15 días del mes siguiente y entregará comprobante al PROFESIONAL.</w:t>
      </w:r>
    </w:p>
    <w:p>
      <w:pPr>
        <w:spacing w:before="0" w:after="120" w:line="312" w:lineRule="auto"/>
        <w:jc w:val="both"/>
      </w:pPr>
      <w:r>
        <w:rPr>
          <w:rFonts w:ascii="Calibri" w:hAnsi="Calibri" w:cs="Calibri"/>
          <w:b w:val="0"/>
          <w:i/>
          <w:color w:val="556575"/>
          <w:sz w:val="20"/>
        </w:rPr>
        <w:t>FACTURACIÓN: EL PROFESIONAL se obliga a emitir factura o recibo por cada pago recibido, con sus datos de RIF, número de control, número de factura y descripción del servicio. Sin factura no procederá el pago.</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profesionales con diligencia, calidad y oportunidad.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vigente la inscripción en el CMV y la colegiatura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póliza de Seguro de Responsabilidad Civil Profesional vigente y entregar copia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los protocolos clínicos, de bioseguridad (NT-01-2008) y manejo de sustancias controladas (SENAC).</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y mantener actualizadas las historias clínicas de los pacientes atendidos, las cuales son propiedad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Redactar y firmar recetas, certificados, consentimientos informados e informes médicos.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urgencias y emergencias según turnos asignados.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clientes y pacientes (durante el contrato y por 5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el ISLR anualmente.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la vigencia del contrato y por 12 meses después de su terminación (cláusula de no competencia parcial post-contractual).</w:t>
      </w:r>
    </w:p>
    <w:p>
      <w:pPr>
        <w:spacing w:after="120"/>
      </w:pPr>
    </w:p>
    <w:p>
      <w:pPr>
        <w:keepNext/>
        <w:spacing w:before="120" w:after="40"/>
        <w:jc w:val="left"/>
      </w:pPr>
      <w:r>
        <w:rPr>
          <w:rFonts w:ascii="Calibri" w:hAnsi="Calibri" w:cs="Calibri"/>
          <w:b/>
          <w:i w:val="0"/>
          <w:color w:val="0F766E"/>
          <w:sz w:val="22"/>
        </w:rPr>
        <w:t>CLÁUSULA SEXTA: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y beneficios en la forma y oportunidad pactadas.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equipos, instrumental, medicamentos e insumos necesarios para la prestación de los servicios.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el mantenimiento de las instalaciones y equipos.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3% de ISLR al SENIAT, y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y no impartir instrucciones que afecten su criterio clínico.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Proporcionar acceso a las historias clínicas y registros de los pacientes.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Sistema de Vigilancia Médica conforme a la NT-02-2008.</w:t>
      </w:r>
    </w:p>
    <w:p>
      <w:pPr>
        <w:spacing w:after="120"/>
      </w:pPr>
    </w:p>
    <w:p>
      <w:pPr>
        <w:keepNext/>
        <w:spacing w:before="120" w:after="40"/>
        <w:jc w:val="left"/>
      </w:pPr>
      <w:r>
        <w:rPr>
          <w:rFonts w:ascii="Calibri" w:hAnsi="Calibri" w:cs="Calibri"/>
          <w:b/>
          <w:i w:val="0"/>
          <w:color w:val="0F766E"/>
          <w:sz w:val="22"/>
        </w:rPr>
        <w:t>CLÁUSULA SÉPTIMA: PROPIEDAD DE HISTORIAS CLÍNICAS</w:t>
      </w:r>
    </w:p>
    <w:p>
      <w:pPr>
        <w:spacing w:before="0" w:after="80" w:line="312" w:lineRule="auto"/>
        <w:jc w:val="both"/>
      </w:pPr>
      <w:r>
        <w:rPr>
          <w:rFonts w:ascii="Calibri" w:hAnsi="Calibri" w:cs="Calibri"/>
          <w:b w:val="0"/>
          <w:i w:val="0"/>
          <w:sz w:val="20"/>
        </w:rPr>
        <w:t>Las historias clínicas veterinarias, registros médicos, radiografías, resultados de laboratorio, fotografías clínicas de pacientes y demás documentación médica generada durante la prestación del servicio son PROPIEDAD EXCLUSIVA DE LA EMPRESA. EL PROFESIONAL no podrá sustraerlas, copiarlas, fotografiarlas, divulgarlas ni utilizarlas para fines personales o de terceros, ni durante ni después de la vigencia del presente contrato.</w:t>
      </w:r>
    </w:p>
    <w:p>
      <w:pPr>
        <w:spacing w:before="0" w:after="120" w:line="312" w:lineRule="auto"/>
        <w:jc w:val="both"/>
      </w:pPr>
      <w:r>
        <w:rPr>
          <w:rFonts w:ascii="Calibri" w:hAnsi="Calibri" w:cs="Calibri"/>
          <w:b w:val="0"/>
          <w:i w:val="0"/>
          <w:sz w:val="20"/>
        </w:rPr>
        <w:t>EL PROFESIONAL entregará a LA EMPRESA todas las historias clínicas y registros al término del contrato. La violación de esta cláusula generará responsabilidad civil por daños y perjuicios.</w:t>
      </w:r>
    </w:p>
    <w:p>
      <w:pPr>
        <w:keepNext/>
        <w:spacing w:before="120" w:after="40"/>
        <w:jc w:val="left"/>
      </w:pPr>
      <w:r>
        <w:rPr>
          <w:rFonts w:ascii="Calibri" w:hAnsi="Calibri" w:cs="Calibri"/>
          <w:b/>
          <w:i w:val="0"/>
          <w:color w:val="0F766E"/>
          <w:sz w:val="22"/>
        </w:rPr>
        <w:t>CLÁUSULA OCTAVA: DURACIÓN</w:t>
      </w:r>
    </w:p>
    <w:p>
      <w:pPr>
        <w:spacing w:before="0" w:after="120" w:line="312" w:lineRule="auto"/>
        <w:jc w:val="both"/>
      </w:pPr>
      <w:r>
        <w:rPr>
          <w:rFonts w:ascii="Calibri" w:hAnsi="Calibri" w:cs="Calibri"/>
          <w:b w:val="0"/>
          <w:i w:val="0"/>
          <w:sz w:val="20"/>
        </w:rPr>
        <w:t>El presente contrato tendrá una duración de DOCE (12) MESES, contados a partir del ____ de ________________ de ______, hasta el ____ de ________________ de ______.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NOVENA: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 sin necesidad de notificación.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de cualquiera de las partes,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(mala praxis profesional, violación de confidencialidad, abandono de servicios).</w:t>
      </w:r>
    </w:p>
    <w:p>
      <w:pPr>
        <w:spacing w:before="0" w:after="120" w:line="312" w:lineRule="auto"/>
        <w:jc w:val="both"/>
      </w:pPr>
      <w:r>
        <w:rPr>
          <w:rFonts w:ascii="Calibri" w:hAnsi="Calibri" w:cs="Calibri"/>
          <w:b w:val="0"/>
          <w:i w:val="0"/>
          <w:sz w:val="20"/>
        </w:rPr>
        <w:t>La terminación del contrato NO genera derecho a prestaciones sociales, indemnizaciones laborales, ni cualquier otro concepto de naturaleza salarial. Solo procederá el pago de los honorarios pendientes por servicios efectivamente prestados a la fecha de terminación.</w:t>
      </w:r>
    </w:p>
    <w:p>
      <w:pPr>
        <w:keepNext/>
        <w:spacing w:before="120" w:after="40"/>
        <w:jc w:val="left"/>
      </w:pPr>
      <w:r>
        <w:rPr>
          <w:rFonts w:ascii="Calibri" w:hAnsi="Calibri" w:cs="Calibri"/>
          <w:b/>
          <w:i w:val="0"/>
          <w:color w:val="0F766E"/>
          <w:sz w:val="22"/>
        </w:rPr>
        <w:t>CLÁUSULA DÉCIMA: RESPONSABILIDAD CIVIL PROFESIONAL</w:t>
      </w:r>
    </w:p>
    <w:p>
      <w:pPr>
        <w:spacing w:before="0" w:after="80" w:line="312" w:lineRule="auto"/>
        <w:jc w:val="both"/>
      </w:pPr>
      <w:r>
        <w:rPr>
          <w:rFonts w:ascii="Calibri" w:hAnsi="Calibri" w:cs="Calibri"/>
          <w:b w:val="0"/>
          <w:i w:val="0"/>
          <w:sz w:val="20"/>
        </w:rPr>
        <w:t>EL PROFESIONAL responde civil y profesionalmente por los actos, omisiones y decisiones clínicas que adopte en el ejercicio de su profesión. LA EMPRESA no asume responsabilidad solidaria por la actividad profesional del PROFESIONAL, salvo que se demuestre culpa directa de la empresa (equipos defectuosos, instalaciones inseguras).</w:t>
      </w:r>
    </w:p>
    <w:p>
      <w:pPr>
        <w:spacing w:before="0" w:after="120" w:line="312" w:lineRule="auto"/>
        <w:jc w:val="both"/>
      </w:pPr>
      <w:r>
        <w:rPr>
          <w:rFonts w:ascii="Calibri" w:hAnsi="Calibri" w:cs="Calibri"/>
          <w:b w:val="0"/>
          <w:i w:val="0"/>
          <w:sz w:val="20"/>
        </w:rPr>
        <w:t>EL PROFESIONAL declara tener vigente póliza de Seguro de Responsabilidad Civil Profesional con cobertura no menor a USD 50.000,00, y entrega copia de la póliza a LA EMPRESA al momento de la suscripción del presente contrato.</w:t>
      </w:r>
    </w:p>
    <w:p>
      <w:pPr>
        <w:keepNext/>
        <w:spacing w:before="120" w:after="40"/>
        <w:jc w:val="left"/>
      </w:pPr>
      <w:r>
        <w:rPr>
          <w:rFonts w:ascii="Calibri" w:hAnsi="Calibri" w:cs="Calibri"/>
          <w:b/>
          <w:i w:val="0"/>
          <w:color w:val="0F766E"/>
          <w:sz w:val="22"/>
        </w:rPr>
        <w:t>CLÁUSULA DÉCIMA PRIMERA: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pacientes, proveedores y estrategias comerciales, durante la vigencia del contrato y por CINCO (5) AÑOS después de su terminación. La violación de esta cláusula generará responsabilidad civil por daños y perjuicios.</w:t>
      </w:r>
    </w:p>
    <w:p>
      <w:pPr>
        <w:keepNext/>
        <w:spacing w:before="120" w:after="40"/>
        <w:jc w:val="left"/>
      </w:pPr>
      <w:r>
        <w:rPr>
          <w:rFonts w:ascii="Calibri" w:hAnsi="Calibri" w:cs="Calibri"/>
          <w:b/>
          <w:i w:val="0"/>
          <w:color w:val="0F766E"/>
          <w:sz w:val="22"/>
        </w:rPr>
        <w:t>CLÁUSULA DÉCIMA SEGUNDA: PROTECCIÓN DE DATOS PERSONALES</w:t>
      </w:r>
    </w:p>
    <w:p>
      <w:pPr>
        <w:spacing w:before="0" w:after="120" w:line="312" w:lineRule="auto"/>
        <w:jc w:val="both"/>
      </w:pPr>
      <w:r>
        <w:rPr>
          <w:rFonts w:ascii="Calibri" w:hAnsi="Calibri" w:cs="Calibri"/>
          <w:b w:val="0"/>
          <w:i w:val="0"/>
          <w:sz w:val="20"/>
        </w:rPr>
        <w:t>Las partes se comprometen a cumplir la Ley Orgánica de Protección de Datos Personales (LOPDP) en el tratamiento de los datos personales de clientes, pacientes y personal. El profesional autoriza a LA EMPRESA el tratamiento de sus datos personales con fines administrativos y tributarios, conforme a la Autorización firmada por separado.</w:t>
      </w:r>
    </w:p>
    <w:p>
      <w:pPr>
        <w:keepNext/>
        <w:spacing w:before="120" w:after="40"/>
        <w:jc w:val="left"/>
      </w:pPr>
      <w:r>
        <w:rPr>
          <w:rFonts w:ascii="Calibri" w:hAnsi="Calibri" w:cs="Calibri"/>
          <w:b/>
          <w:i w:val="0"/>
          <w:color w:val="0F766E"/>
          <w:sz w:val="22"/>
        </w:rPr>
        <w:t>CLÁUSULA DÉCIMA TERCERA: DOMICILIO Y JURISDICCIÓN</w:t>
      </w:r>
    </w:p>
    <w:p>
      <w:pPr>
        <w:spacing w:before="0" w:after="160" w:line="312" w:lineRule="auto"/>
        <w:jc w:val="both"/>
      </w:pPr>
      <w:r>
        <w:rPr>
          <w:rFonts w:ascii="Calibri" w:hAnsi="Calibri" w:cs="Calibri"/>
          <w:b w:val="0"/>
          <w:i w:val="0"/>
          <w:sz w:val="20"/>
        </w:rPr>
        <w:t>Para todos los efectos derivados del presente contrato, las partes eligen como domicilio procesal especial, con exclusión de cualquier otro, la ciudad de Los Teques, Estado Miranda, a cuyos tribunales declaran someterse. Las controversias derivadas del presente contrato se sustanciarán por la vía ordinaria civil, correspondiendo a los tribunales civiles competentes el conocimiento de las mismas. Se excluye expresamente la jurisdicción laboral por tratarse de un contrato de naturaleza civil y mercantil.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Médico Veterinario v1.0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