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Peluquero Canino</w:t>
            </w:r>
          </w:p>
          <w:p>
            <w:pPr>
              <w:spacing w:before="0"/>
              <w:jc w:val="right"/>
            </w:pPr>
            <w:r>
              <w:rPr>
                <w:rFonts w:ascii="Calibri" w:hAnsi="Calibri" w:cs="Calibri"/>
                <w:b w:val="0"/>
                <w:i w:val="0"/>
                <w:color w:val="9098A8"/>
                <w:sz w:val="16"/>
              </w:rPr>
              <w:t>Versión 1.1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Dog Groomer (Peluquero Canino)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con RIF personal N° __________________, con experiencia técnica certificada en peluquería canina y felina (anexar certificaciones o constancias),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de PELUQUERÍA CANINA Y FELINA, en su carácter de técnico especializado independiente, comprendiendo: cortes de pelo según raza, tipo de pelaje o solicitud del cliente; baño, secado y cepillado profesional; corte y limado de uñas; limpieza del canal auditivo externo; evaluación inicial del estado del animal; manejo y contención amigable del animal; limpieza y desinfección del área de trabajo entre pacientes; y mantenimiento de las herramientas de peluquería.</w:t>
      </w:r>
    </w:p>
    <w:p>
      <w:pPr>
        <w:spacing w:before="0" w:after="120" w:line="312" w:lineRule="auto"/>
        <w:jc w:val="both"/>
      </w:pPr>
      <w:r>
        <w:rPr>
          <w:rFonts w:ascii="Calibri" w:hAnsi="Calibri" w:cs="Calibri"/>
          <w:b w:val="0"/>
          <w:i w:val="0"/>
          <w:sz w:val="20"/>
        </w:rPr>
        <w:t>Los servicios se prestarán CON PLENA AUTONOMÍA TÉCNICA. EL PROFESIONAL decide libremente las técnicas de corte, sujeción y manejo del animal, conforme a las buenas prácticas de peluquería canina y al bienestar animal. LA EMPRESA reconoce esta autonomía técnica.</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BAJO LA MODALIDAD DE HONORARIOS PROFESIONALES, conforme al artículo 40 de la LOTTT y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técnico independiente, sin relación de subordinación.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trabajo de manera autónoma, sujeto a las citas acordadas.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atender a otros clientes y prestar servicios externos en horarios distintos a los pactados.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sin generar prestaciones sociales.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 riesgo:  </w:t>
      </w:r>
      <w:r>
        <w:rPr>
          <w:rFonts w:ascii="Calibri" w:hAnsi="Calibri" w:cs="Calibri"/>
          <w:b w:val="0"/>
          <w:i w:val="0"/>
          <w:color w:val="111827"/>
          <w:sz w:val="20"/>
        </w:rPr>
        <w:t>EL PROFESIONAL asume el riesgo de su actividad (mordeduras, cortes, lesiones a mascotas).</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con la siguiente flexibilidad horaria: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Citas asignadas por LA EMPRESA, previa coordinación con EL PROFESIONAL.</w:t>
      </w:r>
    </w:p>
    <w:p>
      <w:pPr>
        <w:spacing w:before="0" w:after="120" w:line="312" w:lineRule="auto"/>
        <w:jc w:val="both"/>
      </w:pPr>
      <w:r>
        <w:rPr>
          <w:rFonts w:ascii="Calibri" w:hAnsi="Calibri" w:cs="Calibri"/>
          <w:b w:val="0"/>
          <w:i w:val="0"/>
          <w:sz w:val="20"/>
        </w:rPr>
        <w:t>EL PROFESIONAL podrá aceptar o reprogramar citas, siempre que asegure la cobertura mínima pactada de ___ servicios/día. Esta flexibilidad es esencial para preservar la naturaleza no laboral del contrato.</w:t>
      </w:r>
    </w:p>
    <w:p>
      <w:pPr>
        <w:keepNext/>
        <w:spacing w:before="120" w:after="40"/>
        <w:jc w:val="left"/>
      </w:pPr>
      <w:r>
        <w:rPr>
          <w:rFonts w:ascii="Calibri" w:hAnsi="Calibri" w:cs="Calibri"/>
          <w:b/>
          <w:i w:val="0"/>
          <w:color w:val="0F766E"/>
          <w:sz w:val="22"/>
        </w:rPr>
        <w:t>CLÁUSULA CUARTA: HONORARIOS Y FORMA DE PAGO</w:t>
      </w:r>
    </w:p>
    <w:p>
      <w:pPr>
        <w:spacing w:before="0" w:after="80" w:line="312" w:lineRule="auto"/>
        <w:jc w:val="both"/>
      </w:pPr>
      <w:r>
        <w:rPr>
          <w:rFonts w:ascii="Calibri" w:hAnsi="Calibri" w:cs="Calibri"/>
          <w:b w:val="0"/>
          <w:i w:val="0"/>
          <w:sz w:val="20"/>
        </w:rPr>
        <w:t>Por los servicios prestados, LA EMPRESA pagará a EL PROFESIONAL la suma mensual única de USD 250,00 (DÓLARES DE LOS ESTADOS UNIDOS DE AMÉRICA DOSCIENTOS CINCUENTA CON 00/100), como HONORARIOS PROFESIONALES por la totalidad de los servicios objeto del presente contrato. Esta suma constituye la contraprestación íntegra y única por todos los servicios prestados, sin que proceda discriminación alguna en concepto de salario base, cestaticket, bono de alimentación, bono de transporte, bono vacacional, utilidades, prestaciones sociales o cualquier otro concepto de naturaleza salarial o laboral.</w:t>
      </w:r>
    </w:p>
    <w:p>
      <w:pPr>
        <w:spacing w:before="0" w:after="80" w:line="312" w:lineRule="auto"/>
        <w:jc w:val="both"/>
      </w:pPr>
      <w:r>
        <w:rPr>
          <w:rFonts w:ascii="Calibri" w:hAnsi="Calibri" w:cs="Calibri"/>
          <w:b w:val="0"/>
          <w:i/>
          <w:color w:val="556575"/>
          <w:sz w:val="20"/>
        </w:rPr>
        <w:t>NATURALEZA DE LOS HONORARIOS: Las partes dejan expresamente constancia de que la suma mensual de USD 250,00 corresponde exclusivamente a HONORARIOS PROFESIONALES por la prestación de servicios técnicos de peluquería canina. En consecuencia, NO constituye salario a ningún efecto legal, NO genera prestaciones sociales ni antigüedad, NO está sujeto a la LOTTT, y NO se calculará sobre ella vacaciones, utilidades, bono vacacional ni indemnizaciones de naturaleza laboral. Su único régimen aplicable es el del Código Civil, Código de Comercio y la Ley de Impuesto sobre la Renta (ISLR).</w:t>
      </w:r>
    </w:p>
    <w:p>
      <w:pPr>
        <w:spacing w:before="0" w:after="80" w:line="312" w:lineRule="auto"/>
        <w:jc w:val="both"/>
      </w:pPr>
      <w:r>
        <w:rPr>
          <w:rFonts w:ascii="Calibri" w:hAnsi="Calibri" w:cs="Calibri"/>
          <w:b w:val="0"/>
          <w:i w:val="0"/>
          <w:sz w:val="20"/>
        </w:rPr>
        <w:t>MONEDA DE PAGO Y CONVERSIÓN CAMBIARIA: El monto de los honorarios se acuerda referenciado en moneda extranjera (USD). Si el pago efectivo se realiza en Bolívares (Bs.), la conversión se efectuará tomando como única referencia el tipo de cambio oficial publicado por el Banco Central de Venezuela (BCV) vigente para el día en que se realice el pago efectivo y oportuno. En caso de pactarse el pago directo en USD en efectivo, LA EMPRESA entregará billetes aptos para la circulación.</w:t>
      </w:r>
    </w:p>
    <w:p>
      <w:pPr>
        <w:spacing w:before="0" w:after="80" w:line="312" w:lineRule="auto"/>
        <w:jc w:val="both"/>
      </w:pPr>
      <w:r>
        <w:rPr>
          <w:rFonts w:ascii="Calibri" w:hAnsi="Calibri" w:cs="Calibri"/>
          <w:b w:val="0"/>
          <w:i w:val="0"/>
          <w:sz w:val="20"/>
        </w:rPr>
        <w:t>FORMA DE PAGO: Mensual, dentro de los primeros cinco (5) días hábiles del mes siguiente al de prestación de los servicios, mediante transferencia bancaria a la cuenta del PROFESIONAL (Banco: _______________, Cuenta N°: _______________). El pago estará sujeto a la retención del 1% por concepto de ISLR (no profesional universitario, encomendado) conforme al artículo 27 de la Ley de ISLR, retención que LA EMPRESA enterará al SENIAT y entregará comprobante al PROFESIONAL.</w:t>
      </w:r>
    </w:p>
    <w:p>
      <w:pPr>
        <w:spacing w:before="0" w:after="120" w:line="312" w:lineRule="auto"/>
        <w:jc w:val="both"/>
      </w:pPr>
      <w:r>
        <w:rPr>
          <w:rFonts w:ascii="Calibri" w:hAnsi="Calibri" w:cs="Calibri"/>
          <w:b w:val="0"/>
          <w:i/>
          <w:color w:val="556575"/>
          <w:sz w:val="20"/>
        </w:rPr>
        <w:t>FACTURACIÓN: EL PROFESIONAL se obliga a emitir recibo o factura por cada pago recibido, con sus datos de RIF, número de control y descripción del servicio. Sin factura no procederá el pago. La factura debe ser emitida a nombre de GRUPO CAVAL 1003, C.A., RIF J501662533.</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con diligencia, calidad, oportunidad y respeto al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cortes según raza, tipo de pelaje o solicitud del cliente.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Evaluar el estado del animal antes del servicio y reportar cualquier hallazgo al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Suspender el servicio e informar al MV si el animal presenta signos de asfixia, fatiga extrema, síncope o agresividad inmanejable.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técnicas de manejo y contención amigable, libres de crueldad.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Limpiar, desinfectar y ordenar la mesa de peluquería, bañera y jaulas entre cada paciente.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sus propias herramientas de corte (tijeras, cuchillas, máquinas) en buen estado.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y sus clientes (durante el contrato y por 3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el contrato y por 12 meses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OBTENER AUTORIZACIÓN PREVIA Y POR ESCRITO de LA EMPRESA para publicar en redes sociales o medios cualquier contenido que se origine en las instalaciones de la peluquería, que involucre pacientes (mascotas), procedimientos, personal, uniformes o cualquier elemento identificable con LA EMPRESA. La publicación sin autorización previa constituye incumplimiento grave del presente contrato.</w:t>
      </w:r>
    </w:p>
    <w:p>
      <w:pPr>
        <w:spacing w:after="120"/>
      </w:pPr>
    </w:p>
    <w:p>
      <w:pPr>
        <w:keepNext/>
        <w:spacing w:before="120" w:after="40"/>
        <w:jc w:val="left"/>
      </w:pPr>
      <w:r>
        <w:rPr>
          <w:rFonts w:ascii="Calibri" w:hAnsi="Calibri" w:cs="Calibri"/>
          <w:b/>
          <w:i w:val="0"/>
          <w:color w:val="0F766E"/>
          <w:sz w:val="22"/>
        </w:rPr>
        <w:t>CLÁUSULA SEXTA: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en la forma y oportunidad pactadas en la Cláusula Cuarta.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de peluquería, bañera, mesa, jaulas, secadora, productos (champús, acondicionadores) y servicios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las citas y asignarlas previamente.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área de peluquería limpia, segura y en condiciones adecuadas.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1% de ISLR al SENIAT,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en los servicios de peluquería.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o denegar por escrito, en un plazo máximo de 3 días hábiles, las solicitudes del PROFESIONAL para publicar contenido en redes sociales relacionado con la peluquería o pacientes.</w:t>
      </w:r>
    </w:p>
    <w:p>
      <w:pPr>
        <w:spacing w:after="120"/>
      </w:pPr>
    </w:p>
    <w:p>
      <w:pPr>
        <w:keepNext/>
        <w:spacing w:before="120" w:after="40"/>
        <w:jc w:val="left"/>
      </w:pPr>
      <w:r>
        <w:rPr>
          <w:rFonts w:ascii="Calibri" w:hAnsi="Calibri" w:cs="Calibri"/>
          <w:b/>
          <w:i w:val="0"/>
          <w:color w:val="0F766E"/>
          <w:sz w:val="22"/>
        </w:rPr>
        <w:t>CLÁUSULA SÉPTIMA: HERRAMIENTAS Y EQUIPOS</w:t>
      </w:r>
    </w:p>
    <w:p>
      <w:pPr>
        <w:spacing w:before="0" w:after="80" w:line="312" w:lineRule="auto"/>
        <w:jc w:val="both"/>
      </w:pPr>
      <w:r>
        <w:rPr>
          <w:rFonts w:ascii="Calibri" w:hAnsi="Calibri" w:cs="Calibri"/>
          <w:b w:val="0"/>
          <w:i w:val="0"/>
          <w:sz w:val="20"/>
        </w:rPr>
        <w:t>LA EMPRESA pondrá a disposición del PROFESIONAL la bañera, mesa de peluquería, secadora, jaulas, champús, acondicionadores, toallas y demás insumos necesarios para la prestación de los servicios de peluquería canina.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a LA EMPRESA;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HERRAMIENTAS PROPIAS DEL PROFESIONAL: EL PROFESIONAL utilizará sus propias herramientas de corte (tijeras, cuchillas, máquinas portátiles, peines, cepillos) que son de su propiedad exclusiva. Estas herramientas deberán ser identificadas e inventariadas al inicio del contrato y al término serán retiradas por EL PROFESIONAL. Mientras dichas herramientas se encuentren en las instalaciones de LA EMPRESA, EL PROFESIONAL se obliga a mantenerlas en buen estado, desinfectadas y bajo su responsabilidad. LA EMPRESA no se hace responsable por pérdida, robo o daño de las herramientas del PROFESIONAL, salvo dolo o negligencia grave de la empresa.</w:t>
      </w:r>
    </w:p>
    <w:p>
      <w:pPr>
        <w:keepNext/>
        <w:spacing w:before="120" w:after="40"/>
        <w:jc w:val="left"/>
      </w:pPr>
      <w:r>
        <w:rPr>
          <w:rFonts w:ascii="Calibri" w:hAnsi="Calibri" w:cs="Calibri"/>
          <w:b/>
          <w:i w:val="0"/>
          <w:color w:val="0F766E"/>
          <w:sz w:val="22"/>
        </w:rPr>
        <w:t>CLÁUSULA OCTAVA: PUBLICACIONES Y REDES SOCIALES</w:t>
      </w:r>
    </w:p>
    <w:p>
      <w:pPr>
        <w:spacing w:before="0" w:after="80" w:line="312" w:lineRule="auto"/>
        <w:jc w:val="both"/>
      </w:pPr>
      <w:r>
        <w:rPr>
          <w:rFonts w:ascii="Calibri" w:hAnsi="Calibri" w:cs="Calibri"/>
          <w:b w:val="0"/>
          <w:i w:val="0"/>
          <w:sz w:val="20"/>
        </w:rPr>
        <w:t>Toda publicación, difusión o comunicación pública en redes sociales, medios tradicionales, plataformas digitales o cualquier canal de comunicación que incluya contenido originado en LA EMPRESA — incluyendo pero no limitado a: fotografías o videos de las instalaciones de peluquería, bañera, mesa, jaulas; fotografías o videos de pacientes (mascotas) antes/después del servicio; casos, testimonios de clientes; uniformes, logos o cualquier elemento identificable con LA EMPRESA; personal de la clínica en horario de trabajo o en las instalaciones — requiere AUTORIZACIÓN PREVIA, EXPRESA Y POR ESCRITO de la Dirección de LA EMPRESA.</w:t>
      </w:r>
    </w:p>
    <w:p>
      <w:pPr>
        <w:spacing w:before="0" w:after="80" w:line="312" w:lineRule="auto"/>
        <w:jc w:val="both"/>
      </w:pPr>
      <w:r>
        <w:rPr>
          <w:rFonts w:ascii="Calibri" w:hAnsi="Calibri" w:cs="Calibri"/>
          <w:b w:val="0"/>
          <w:i w:val="0"/>
          <w:sz w:val="20"/>
        </w:rPr>
        <w:t>LA EMPRESA dispondrá de un plazo de tres (3) días hábiles, contados a partir de la recepción de la solicitud de autorización, para pronunciarse por escrito. Transcurrido dicho plazo sin respuesta expresa, la solicitud se considerará DENEGADA. La publicación sin autorización previa constituye incumplimiento grave del contrato y facultará a LA EMPRESA a: (i) exigir la retirada inmediata del contenido; (ii) iniciar las acciones civiles y penales que correspondan por daños a la reputación y a la imagen corporativa; y (iii) resolver el contrato por causa grave.</w:t>
      </w:r>
    </w:p>
    <w:p>
      <w:pPr>
        <w:spacing w:before="0" w:after="120" w:line="312" w:lineRule="auto"/>
        <w:jc w:val="both"/>
      </w:pPr>
      <w:r>
        <w:rPr>
          <w:rFonts w:ascii="Calibri" w:hAnsi="Calibri" w:cs="Calibri"/>
          <w:b w:val="0"/>
          <w:i/>
          <w:color w:val="556575"/>
          <w:sz w:val="20"/>
        </w:rPr>
        <w:t>PROPIEDAD DE CONTENIDOS: Todo contenido creado, publicado o difundido en el marco de la prestación de servicios bajo este contrato, sea o no autorizado, que utilice imágenes, datos, casos, instalaciones, pacientes, uniformes, logos o cualquier elemento identificable con LA EMPRESA, será propiedad exclusiva de LA EMPRESA, conforme a la Ley sobre el Derecho de Autor (Art. 15 — obra por encargo). EL PROFESIONAL cede a LA EMPRESA todos los derechos patrimoniales sobre dichos contenidos, sin necesidad de contraprestación adicional, entendiéndose incluida dicha cesión en los honorarios pactados.</w:t>
      </w:r>
    </w:p>
    <w:p>
      <w:pPr>
        <w:keepNext/>
        <w:spacing w:before="120" w:after="40"/>
        <w:jc w:val="left"/>
      </w:pPr>
      <w:r>
        <w:rPr>
          <w:rFonts w:ascii="Calibri" w:hAnsi="Calibri" w:cs="Calibri"/>
          <w:b/>
          <w:i w:val="0"/>
          <w:color w:val="0F766E"/>
          <w:sz w:val="22"/>
        </w:rPr>
        <w:t>CLÁUSULA NOVENA: RESPONSABILIDAD CIVIL</w:t>
      </w:r>
    </w:p>
    <w:p>
      <w:pPr>
        <w:spacing w:before="0" w:after="80" w:line="312" w:lineRule="auto"/>
        <w:jc w:val="both"/>
      </w:pPr>
      <w:r>
        <w:rPr>
          <w:rFonts w:ascii="Calibri" w:hAnsi="Calibri" w:cs="Calibri"/>
          <w:b w:val="0"/>
          <w:i w:val="0"/>
          <w:sz w:val="20"/>
        </w:rPr>
        <w:t>EL PROFESIONAL responde civilmente por los daños causados a las mascotas durante el servicio, salvo que se demuestre que el daño fue causado por equipos defectuosos o instalaciones inseguras proporcionadas por LA EMPRESA. EL PROFESIONAL debe mantener póliza de Responsabilidad Civil (opcional pero recomendada) y reportar inmediatamente cualquier incidente.</w:t>
      </w:r>
    </w:p>
    <w:p>
      <w:pPr>
        <w:spacing w:before="0" w:after="120" w:line="312" w:lineRule="auto"/>
        <w:jc w:val="both"/>
      </w:pPr>
      <w:r>
        <w:rPr>
          <w:rFonts w:ascii="Calibri" w:hAnsi="Calibri" w:cs="Calibri"/>
          <w:b w:val="0"/>
          <w:i w:val="0"/>
          <w:sz w:val="20"/>
        </w:rPr>
        <w:t>En caso de mordedura o arañazo al PROFESIONAL durante el servicio, este será responsable de su atención médica, dado que se trata de un profesional independiente que asume el riesgo de su actividad. Se recomienda mantener vacuna antirrábica pre-exposición vigente.</w:t>
      </w:r>
    </w:p>
    <w:p>
      <w:pPr>
        <w:keepNext/>
        <w:spacing w:before="120" w:after="40"/>
        <w:jc w:val="left"/>
      </w:pPr>
      <w:r>
        <w:rPr>
          <w:rFonts w:ascii="Calibri" w:hAnsi="Calibri" w:cs="Calibri"/>
          <w:b/>
          <w:i w:val="0"/>
          <w:color w:val="0F766E"/>
          <w:sz w:val="22"/>
        </w:rPr>
        <w:t>CLÁUSULA DÉCIMA: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PRIMERA: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(maltrato animal, robo, violación de confidencialidad, publicación no autorizada en redes sociales).</w:t>
      </w:r>
    </w:p>
    <w:p>
      <w:pPr>
        <w:spacing w:before="0" w:after="120" w:line="312" w:lineRule="auto"/>
        <w:jc w:val="both"/>
      </w:pPr>
      <w:r>
        <w:rPr>
          <w:rFonts w:ascii="Calibri" w:hAnsi="Calibri" w:cs="Calibri"/>
          <w:b w:val="0"/>
          <w:i w:val="0"/>
          <w:sz w:val="20"/>
        </w:rPr>
        <w:t>La terminación NO genera derecho a prestaciones sociales ni indemnizaciones laborales. Solo procederá el pago de honorarios pendientes por servicios efectivamente prestados.</w:t>
      </w:r>
    </w:p>
    <w:p>
      <w:pPr>
        <w:keepNext/>
        <w:spacing w:before="120" w:after="40"/>
        <w:jc w:val="left"/>
      </w:pPr>
      <w:r>
        <w:rPr>
          <w:rFonts w:ascii="Calibri" w:hAnsi="Calibri" w:cs="Calibri"/>
          <w:b/>
          <w:i w:val="0"/>
          <w:color w:val="0F766E"/>
          <w:sz w:val="22"/>
        </w:rPr>
        <w:t>CLÁUSULA DÉCIMA SEGUNDA: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y pacientes, durante la vigencia del contrato y por TRES (3) AÑOS después de su terminación.</w:t>
      </w:r>
    </w:p>
    <w:p>
      <w:pPr>
        <w:keepNext/>
        <w:spacing w:before="120" w:after="40"/>
        <w:jc w:val="left"/>
      </w:pPr>
      <w:r>
        <w:rPr>
          <w:rFonts w:ascii="Calibri" w:hAnsi="Calibri" w:cs="Calibri"/>
          <w:b/>
          <w:i w:val="0"/>
          <w:color w:val="0F766E"/>
          <w:sz w:val="22"/>
        </w:rPr>
        <w:t>CLÁUSULA DÉCIMA TERCERA: PROTECCIÓN DE DATOS PERSONALES</w:t>
      </w:r>
    </w:p>
    <w:p>
      <w:pPr>
        <w:spacing w:before="0" w:after="120" w:line="312" w:lineRule="auto"/>
        <w:jc w:val="both"/>
      </w:pPr>
      <w:r>
        <w:rPr>
          <w:rFonts w:ascii="Calibri" w:hAnsi="Calibri" w:cs="Calibri"/>
          <w:b w:val="0"/>
          <w:i w:val="0"/>
          <w:sz w:val="20"/>
        </w:rPr>
        <w:t>Las partes cumplirán la LOPDP. EL PROFESIONAL autoriza a LA EMPRESA el tratamiento de sus datos personales con fines administrativos y tributarios.</w:t>
      </w:r>
    </w:p>
    <w:p>
      <w:pPr>
        <w:keepNext/>
        <w:spacing w:before="120" w:after="40"/>
        <w:jc w:val="left"/>
      </w:pPr>
      <w:r>
        <w:rPr>
          <w:rFonts w:ascii="Calibri" w:hAnsi="Calibri" w:cs="Calibri"/>
          <w:b/>
          <w:i w:val="0"/>
          <w:color w:val="0F766E"/>
          <w:sz w:val="22"/>
        </w:rPr>
        <w:t>CLÁUSULA DÉCIMA CUARTA: DOMICILIO Y JURISDICCIÓN</w:t>
      </w:r>
    </w:p>
    <w:p>
      <w:pPr>
        <w:spacing w:before="0" w:after="160" w:line="312" w:lineRule="auto"/>
        <w:jc w:val="both"/>
      </w:pPr>
      <w:r>
        <w:rPr>
          <w:rFonts w:ascii="Calibri" w:hAnsi="Calibri" w:cs="Calibri"/>
          <w:b w:val="0"/>
          <w:i w:val="0"/>
          <w:sz w:val="20"/>
        </w:rPr>
        <w:t>Para todos los efectos, las partes eligen como domicilio procesal especial la ciudad de Los Teques, Estado Miranda, a cuyos tribunales civiles declaran someterse. Se excluye expresamente la jurisdicción laboral.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Dog Groomer v1.1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