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370"/>
        <w:gridCol w:w="2835"/>
      </w:tblGrid>
      <w:tr>
        <w:tc>
          <w:tcPr>
            <w:tcW w:type="dxa" w:w="4819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</w:tcPr>
          <w:p>
            <w:pPr>
              <w:spacing w:after="0"/>
            </w:pPr>
            <w:r/>
            <w:r>
              <w:rPr>
                <w:rFonts w:ascii="Calibri" w:hAnsi="Calibri" w:cs="Calibri"/>
                <w:b/>
                <w:i w:val="0"/>
                <w:color w:val="0F766E"/>
                <w:sz w:val="44"/>
              </w:rPr>
              <w:t>ALIKA PETS</w:t>
            </w:r>
          </w:p>
          <w:p>
            <w:pPr>
              <w:spacing w:before="0" w:after="0"/>
            </w:pPr>
            <w:r>
              <w:rPr>
                <w:rFonts w:ascii="Calibri" w:hAnsi="Calibri" w:cs="Calibri"/>
                <w:b w:val="0"/>
                <w:i w:val="0"/>
                <w:color w:val="111827"/>
                <w:sz w:val="20"/>
              </w:rPr>
              <w:t>Grupo Caval 1003, C.A.  ·  RIF: J501662533</w:t>
            </w:r>
          </w:p>
          <w:p>
            <w:pPr>
              <w:spacing w:before="0"/>
            </w:pPr>
            <w:r>
              <w:rPr>
                <w:rFonts w:ascii="Calibri" w:hAnsi="Calibri" w:cs="Calibri"/>
                <w:b w:val="0"/>
                <w:i w:val="0"/>
                <w:color w:val="556575"/>
                <w:sz w:val="18"/>
              </w:rPr>
              <w:t>Av. Francisco de Miranda, Local N° 1, Los Teques, Miranda  ·  Zona Postal 1201</w:t>
            </w:r>
          </w:p>
        </w:tc>
        <w:tc>
          <w:tcPr>
            <w:tcW w:type="dxa" w:w="4819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</w:tcPr>
          <w:p>
            <w:pPr>
              <w:spacing w:after="0"/>
              <w:jc w:val="right"/>
            </w:pPr>
            <w:r/>
            <w:r>
              <w:rPr>
                <w:rFonts w:ascii="Calibri" w:hAnsi="Calibri" w:cs="Calibri"/>
                <w:b/>
                <w:i w:val="0"/>
                <w:color w:val="0F766E"/>
                <w:sz w:val="22"/>
              </w:rPr>
              <w:t>DESCRIPCIÓN DE CARGO</w:t>
            </w:r>
          </w:p>
          <w:p>
            <w:pPr>
              <w:spacing w:before="0"/>
              <w:jc w:val="right"/>
            </w:pPr>
            <w:r>
              <w:rPr>
                <w:rFonts w:ascii="Calibri" w:hAnsi="Calibri" w:cs="Calibri"/>
                <w:b w:val="0"/>
                <w:i/>
                <w:color w:val="556575"/>
                <w:sz w:val="18"/>
              </w:rPr>
              <w:t>Gerente General</w:t>
            </w:r>
          </w:p>
          <w:p>
            <w:pPr>
              <w:spacing w:before="0"/>
              <w:jc w:val="right"/>
            </w:pPr>
            <w:r>
              <w:rPr>
                <w:rFonts w:ascii="Calibri" w:hAnsi="Calibri" w:cs="Calibri"/>
                <w:b w:val="0"/>
                <w:i w:val="0"/>
                <w:color w:val="9098A8"/>
                <w:sz w:val="16"/>
              </w:rPr>
              <w:t>Versión 3.0  ·  RR.HH.</w:t>
            </w:r>
          </w:p>
        </w:tc>
      </w:tr>
    </w:tbl>
    <w:p>
      <w:pPr>
        <w:spacing w:before="40" w:after="160"/>
        <w:pBdr>
          <w:bottom w:val="single" w:sz="14" w:space="1" w:color="0F766E"/>
        </w:pBdr>
      </w:pPr>
    </w:p>
    <w:p>
      <w:pPr>
        <w:spacing w:before="40" w:after="40"/>
        <w:jc w:val="center"/>
      </w:pPr>
      <w:r>
        <w:rPr>
          <w:rFonts w:ascii="Calibri" w:hAnsi="Calibri" w:cs="Calibri"/>
          <w:b/>
          <w:i w:val="0"/>
          <w:color w:val="0F766E"/>
          <w:sz w:val="30"/>
        </w:rPr>
        <w:t>DESCRIPCIÓN DE CARGO</w:t>
        <w:br/>
        <w:t>GERENTE GENERAL</w:t>
      </w:r>
    </w:p>
    <w:p>
      <w:pPr>
        <w:spacing w:before="0" w:after="200"/>
        <w:pBdr>
          <w:bottom w:val="single" w:sz="10" w:space="1" w:color="0F766E"/>
        </w:pBdr>
      </w:pPr>
    </w:p>
    <w:p>
      <w:pPr>
        <w:keepNext/>
        <w:spacing w:before="120" w:after="40"/>
        <w:jc w:val="left"/>
      </w:pPr>
      <w:r>
        <w:rPr>
          <w:rFonts w:ascii="Calibri" w:hAnsi="Calibri" w:cs="Calibri"/>
          <w:b/>
          <w:i w:val="0"/>
          <w:color w:val="0F766E"/>
          <w:sz w:val="22"/>
        </w:rPr>
        <w:t>1.  IDENTIFICACIÓN DEL CARGO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18"/>
        <w:gridCol w:w="6293"/>
      </w:tblGrid>
      <w:tr>
        <w:tc>
          <w:tcPr>
            <w:tcW w:type="dxa" w:w="3118"/>
            <w:vAlign w:val="center"/>
            <w:shd w:val="clear" w:color="auto" w:fill="E2E8F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/>
                <w:i w:val="0"/>
                <w:color w:val="0F766E"/>
                <w:sz w:val="18"/>
              </w:rPr>
              <w:t>Título del cargo</w:t>
            </w:r>
          </w:p>
        </w:tc>
        <w:tc>
          <w:tcPr>
            <w:tcW w:type="dxa" w:w="6293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GERENTE GENERAL</w:t>
            </w:r>
          </w:p>
        </w:tc>
      </w:tr>
      <w:tr>
        <w:tc>
          <w:tcPr>
            <w:tcW w:type="dxa" w:w="3118"/>
            <w:vAlign w:val="center"/>
            <w:shd w:val="clear" w:color="auto" w:fill="E2E8F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/>
                <w:i w:val="0"/>
                <w:color w:val="0F766E"/>
                <w:sz w:val="18"/>
              </w:rPr>
              <w:t>Departamento</w:t>
            </w:r>
          </w:p>
        </w:tc>
        <w:tc>
          <w:tcPr>
            <w:tcW w:type="dxa" w:w="6293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Dirección General</w:t>
            </w:r>
          </w:p>
        </w:tc>
      </w:tr>
      <w:tr>
        <w:tc>
          <w:tcPr>
            <w:tcW w:type="dxa" w:w="3118"/>
            <w:vAlign w:val="center"/>
            <w:shd w:val="clear" w:color="auto" w:fill="E2E8F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/>
                <w:i w:val="0"/>
                <w:color w:val="0F766E"/>
                <w:sz w:val="18"/>
              </w:rPr>
              <w:t>Reporta a</w:t>
            </w:r>
          </w:p>
        </w:tc>
        <w:tc>
          <w:tcPr>
            <w:tcW w:type="dxa" w:w="6293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Directora Gerente</w:t>
            </w:r>
          </w:p>
        </w:tc>
      </w:tr>
      <w:tr>
        <w:tc>
          <w:tcPr>
            <w:tcW w:type="dxa" w:w="3118"/>
            <w:vAlign w:val="center"/>
            <w:shd w:val="clear" w:color="auto" w:fill="E2E8F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/>
                <w:i w:val="0"/>
                <w:color w:val="0F766E"/>
                <w:sz w:val="18"/>
              </w:rPr>
              <w:t>Supervisa a</w:t>
            </w:r>
          </w:p>
        </w:tc>
        <w:tc>
          <w:tcPr>
            <w:tcW w:type="dxa" w:w="6293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Encargado de Clínica, Encargado de Tienda, Médico(s) Veterinario(s), Auxiliares Veterinarios, Dog Groomer(s), Asistente(s) de Ventas, personal administrativo</w:t>
            </w:r>
          </w:p>
        </w:tc>
      </w:tr>
      <w:tr>
        <w:tc>
          <w:tcPr>
            <w:tcW w:type="dxa" w:w="3118"/>
            <w:vAlign w:val="center"/>
            <w:shd w:val="clear" w:color="auto" w:fill="E2E8F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/>
                <w:i w:val="0"/>
                <w:color w:val="0F766E"/>
                <w:sz w:val="18"/>
              </w:rPr>
              <w:t>Nivel jerárquico</w:t>
            </w:r>
          </w:p>
        </w:tc>
        <w:tc>
          <w:tcPr>
            <w:tcW w:type="dxa" w:w="6293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Ejecutivo superior — Nivel 1</w:t>
            </w:r>
          </w:p>
        </w:tc>
      </w:tr>
      <w:tr>
        <w:tc>
          <w:tcPr>
            <w:tcW w:type="dxa" w:w="3118"/>
            <w:vAlign w:val="center"/>
            <w:shd w:val="clear" w:color="auto" w:fill="E2E8F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/>
                <w:i w:val="0"/>
                <w:color w:val="0F766E"/>
                <w:sz w:val="18"/>
              </w:rPr>
              <w:t>Tipo de contrato</w:t>
            </w:r>
          </w:p>
        </w:tc>
        <w:tc>
          <w:tcPr>
            <w:tcW w:type="dxa" w:w="6293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Tiempo indeterminado (LOTTT art. 65) — período de prueba 30 días</w:t>
            </w:r>
          </w:p>
        </w:tc>
      </w:tr>
    </w:tbl>
    <w:p>
      <w:pPr>
        <w:spacing w:after="80"/>
      </w:pPr>
    </w:p>
    <w:p>
      <w:pPr>
        <w:keepNext/>
        <w:spacing w:before="120" w:after="40"/>
        <w:jc w:val="left"/>
      </w:pPr>
      <w:r>
        <w:rPr>
          <w:rFonts w:ascii="Calibri" w:hAnsi="Calibri" w:cs="Calibri"/>
          <w:b/>
          <w:i w:val="0"/>
          <w:color w:val="0F766E"/>
          <w:sz w:val="22"/>
        </w:rPr>
        <w:t>2.  OBJETIVO GENERAL DEL CARGO</w:t>
      </w:r>
    </w:p>
    <w:p>
      <w:pPr>
        <w:spacing w:before="0" w:after="120" w:line="312" w:lineRule="auto"/>
        <w:jc w:val="both"/>
      </w:pPr>
      <w:r>
        <w:rPr>
          <w:rFonts w:ascii="Calibri" w:hAnsi="Calibri" w:cs="Calibri"/>
          <w:b w:val="0"/>
          <w:i w:val="0"/>
          <w:sz w:val="20"/>
        </w:rPr>
        <w:t>Planificar, dirigir, coordinar y controlar la operación integral de la clínica veterinaria, tienda de mascotas y peluquería canina de GRUPO CAVAL 1003, C.A. (ALIKA PETS), asegurando la calidad de los servicios, el cumplimiento de las obligaciones legales venezolanas (LOTTT, LOPCYMAT, LOPDP, Normas NT-01/NT-02, Ley de Ejercicio de la Medicina Veterinaria), la rentabilidad económica del negocio y la satisfacción del cliente interno y externo.</w:t>
      </w:r>
    </w:p>
    <w:p>
      <w:pPr>
        <w:keepNext/>
        <w:spacing w:before="120" w:after="40"/>
        <w:jc w:val="left"/>
      </w:pPr>
      <w:r>
        <w:rPr>
          <w:rFonts w:ascii="Calibri" w:hAnsi="Calibri" w:cs="Calibri"/>
          <w:b/>
          <w:i w:val="0"/>
          <w:color w:val="0F766E"/>
          <w:sz w:val="22"/>
        </w:rPr>
        <w:t>3.  FUNCIONES ESPECÍFICAS</w:t>
      </w:r>
    </w:p>
    <w:p>
      <w:pPr>
        <w:spacing w:before="0" w:after="80" w:line="312" w:lineRule="auto"/>
        <w:jc w:val="both"/>
      </w:pPr>
      <w:r>
        <w:rPr>
          <w:rFonts w:ascii="Calibri" w:hAnsi="Calibri" w:cs="Calibri"/>
          <w:b w:val="0"/>
          <w:i/>
          <w:color w:val="556575"/>
          <w:sz w:val="20"/>
        </w:rPr>
        <w:t>Las funciones del cargo se organizan por áreas de desempeño. Cada área agrupa las responsabilidades específicas que el(la) trabajador(a) deberá ejecutar durante su jornada laboral:</w:t>
      </w:r>
    </w:p>
    <w:p>
      <w:pPr>
        <w:keepNext/>
        <w:spacing w:before="120" w:after="20"/>
        <w:jc w:val="left"/>
      </w:pPr>
      <w:r>
        <w:rPr>
          <w:rFonts w:ascii="Calibri" w:hAnsi="Calibri" w:cs="Calibri"/>
          <w:b/>
          <w:i w:val="0"/>
          <w:color w:val="0F766E"/>
          <w:sz w:val="20"/>
        </w:rPr>
        <w:t>Dirección y supervisión general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 w:val="0"/>
          <w:i w:val="0"/>
          <w:color w:val="111827"/>
          <w:sz w:val="20"/>
        </w:rPr>
        <w:t>Establecer los objetivos estratégicos, operativos y comerciales de la empresa a corto, mediano y largo plazo.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 w:val="0"/>
          <w:i w:val="0"/>
          <w:color w:val="111827"/>
          <w:sz w:val="20"/>
        </w:rPr>
        <w:t>Dirigir y supervisar el cumplimiento de las políticas internas, reglamento, código de conducta y protocolos veterinarios.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 w:val="0"/>
          <w:i w:val="0"/>
          <w:color w:val="111827"/>
          <w:sz w:val="20"/>
        </w:rPr>
        <w:t>Coordinar la integración operativa entre las tres unidades de negocio: clínica, tienda y peluquería canina.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 w:val="0"/>
          <w:i w:val="0"/>
          <w:color w:val="111827"/>
          <w:sz w:val="20"/>
        </w:rPr>
        <w:t>Representar a la empresa ante clientes, proveedores, autoridades sanitarias (SENCAMER, SENAC), IVSS, INCES, FAOV, Inspectoría del Trabajo y comunidades locales.</w:t>
      </w:r>
    </w:p>
    <w:p>
      <w:pPr>
        <w:keepNext/>
        <w:spacing w:before="120" w:after="20"/>
        <w:jc w:val="left"/>
      </w:pPr>
      <w:r>
        <w:rPr>
          <w:rFonts w:ascii="Calibri" w:hAnsi="Calibri" w:cs="Calibri"/>
          <w:b/>
          <w:i w:val="0"/>
          <w:color w:val="0F766E"/>
          <w:sz w:val="20"/>
        </w:rPr>
        <w:t>Gestión del personal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 w:val="0"/>
          <w:i w:val="0"/>
          <w:color w:val="111827"/>
          <w:sz w:val="20"/>
        </w:rPr>
        <w:t>Reclutar, seleccionar, contratar, inducir, capacitar y evaluar al personal de las tres áreas.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 w:val="0"/>
          <w:i w:val="0"/>
          <w:color w:val="111827"/>
          <w:sz w:val="20"/>
        </w:rPr>
        <w:t>Asignar funciones, horarios, rotaciones, vacaciones y permisos conforme a la LOTTT.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 w:val="0"/>
          <w:i w:val="0"/>
          <w:color w:val="111827"/>
          <w:sz w:val="20"/>
        </w:rPr>
        <w:t>Aplicar el régimen disciplinario del Reglamento Interno y, según la gravedad, iniciar procedimientos de rescisión contractual por causa justificada (LOTTT art. 79).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 w:val="0"/>
          <w:i w:val="0"/>
          <w:color w:val="111827"/>
          <w:sz w:val="20"/>
        </w:rPr>
        <w:t>Velar por el clima organizacional, la prevención del acoso laboral y la igualdad de oportunidades.</w:t>
      </w:r>
    </w:p>
    <w:p>
      <w:pPr>
        <w:keepNext/>
        <w:spacing w:before="120" w:after="20"/>
        <w:jc w:val="left"/>
      </w:pPr>
      <w:r>
        <w:rPr>
          <w:rFonts w:ascii="Calibri" w:hAnsi="Calibri" w:cs="Calibri"/>
          <w:b/>
          <w:i w:val="0"/>
          <w:color w:val="0F766E"/>
          <w:sz w:val="20"/>
        </w:rPr>
        <w:t>Control de inventarios y compras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 w:val="0"/>
          <w:i w:val="0"/>
          <w:color w:val="111827"/>
          <w:sz w:val="20"/>
        </w:rPr>
        <w:t>Autorizar las órdenes de compra de medicamentos, insumos médicos, alimentos, accesorios, productos de peluquería y consumibles.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 w:val="0"/>
          <w:i w:val="0"/>
          <w:color w:val="111827"/>
          <w:sz w:val="20"/>
        </w:rPr>
        <w:t>Supervisar los inventarios físicos mensuales y la conciliación con el sistema de gestión.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 w:val="0"/>
          <w:i w:val="0"/>
          <w:color w:val="111827"/>
          <w:sz w:val="20"/>
        </w:rPr>
        <w:t>Controlar el libro foliado de sustancias controladas (opioides, anestésicos, benzodiacepinas) conforme al SENAC.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 w:val="0"/>
          <w:i w:val="0"/>
          <w:color w:val="111827"/>
          <w:sz w:val="20"/>
        </w:rPr>
        <w:t>Verificar el cumplimiento de la cadena de frío y las condiciones de almacenamiento.</w:t>
      </w:r>
    </w:p>
    <w:p>
      <w:pPr>
        <w:keepNext/>
        <w:spacing w:before="120" w:after="20"/>
        <w:jc w:val="left"/>
      </w:pPr>
      <w:r>
        <w:rPr>
          <w:rFonts w:ascii="Calibri" w:hAnsi="Calibri" w:cs="Calibri"/>
          <w:b/>
          <w:i w:val="0"/>
          <w:color w:val="0F766E"/>
          <w:sz w:val="20"/>
        </w:rPr>
        <w:t>Control financiero y contable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 w:val="0"/>
          <w:i w:val="0"/>
          <w:color w:val="111827"/>
          <w:sz w:val="20"/>
        </w:rPr>
        <w:t>Supervisar el flujo de caja diario, depósitos bancarios, conciliaciones y arqueos de caja de las tres unidades.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 w:val="0"/>
          <w:i w:val="0"/>
          <w:color w:val="111827"/>
          <w:sz w:val="20"/>
        </w:rPr>
        <w:t>Revisar y firmar la emisión de facturas, notas de crédito, retenciones de IVA e ISLR.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 w:val="0"/>
          <w:i w:val="0"/>
          <w:color w:val="111827"/>
          <w:sz w:val="20"/>
        </w:rPr>
        <w:t>Aprobar pagos a proveedores, nómina, prestaciones sociales y beneficios contractuales.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 w:val="0"/>
          <w:i w:val="0"/>
          <w:color w:val="111827"/>
          <w:sz w:val="20"/>
        </w:rPr>
        <w:t>Controlar la morosidad, créditos a clientes y cuentas por cobrar.</w:t>
      </w:r>
    </w:p>
    <w:p>
      <w:pPr>
        <w:keepNext/>
        <w:spacing w:before="120" w:after="20"/>
        <w:jc w:val="left"/>
      </w:pPr>
      <w:r>
        <w:rPr>
          <w:rFonts w:ascii="Calibri" w:hAnsi="Calibri" w:cs="Calibri"/>
          <w:b/>
          <w:i w:val="0"/>
          <w:color w:val="0F766E"/>
          <w:sz w:val="20"/>
        </w:rPr>
        <w:t>Indicadores y mejora continua (KPIs)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 w:val="0"/>
          <w:i w:val="0"/>
          <w:color w:val="111827"/>
          <w:sz w:val="20"/>
        </w:rPr>
        <w:t>Definir y monitorear KPIs: facturación por área, ticket promedio, margen bruto, ocupación de quirófano, tasa de hospitalización, rotación de inventario, satisfacción del cliente, ausentismo, rotación de personal.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 w:val="0"/>
          <w:i w:val="0"/>
          <w:color w:val="111827"/>
          <w:sz w:val="20"/>
        </w:rPr>
        <w:t>Realizar reuniones mensuales de gestión con cada jefe de área para revisión de indicadores y planes de mejora.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 w:val="0"/>
          <w:i w:val="0"/>
          <w:color w:val="111827"/>
          <w:sz w:val="20"/>
        </w:rPr>
        <w:t>Implementar acciones correctivas, preventivas y de mejora derivadas de auditorías internas, quejas de clientes o reportes de incidentes.</w:t>
      </w:r>
    </w:p>
    <w:p>
      <w:pPr>
        <w:keepNext/>
        <w:spacing w:before="120" w:after="20"/>
        <w:jc w:val="left"/>
      </w:pPr>
      <w:r>
        <w:rPr>
          <w:rFonts w:ascii="Calibri" w:hAnsi="Calibri" w:cs="Calibri"/>
          <w:b/>
          <w:i w:val="0"/>
          <w:color w:val="0F766E"/>
          <w:sz w:val="20"/>
        </w:rPr>
        <w:t>Cumplimiento normativo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 w:val="0"/>
          <w:i w:val="0"/>
          <w:color w:val="111827"/>
          <w:sz w:val="20"/>
        </w:rPr>
        <w:t>Garantizar el cumplimiento de la LOTTT, LOPCYMAT, LOPDP, Ley del Seguro Social, Ley del INCES, Ley del BVV (FAOV), NT-01-2008 (Bioseguridad), NT-02-2008 (Vigilancia Médica), Ley de Ejercicio de la Medicina Veterinaria, Ley Orgánica de Drogas y demás normativa aplicable.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 w:val="0"/>
          <w:i w:val="0"/>
          <w:color w:val="111827"/>
          <w:sz w:val="20"/>
        </w:rPr>
        <w:t>Mantener actualizado el Comité de Seguridad y Salud Laboral (art. 46 LOPCYMAT) y el Programa de Seguridad y Salud en el Trabajo.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 w:val="0"/>
          <w:i w:val="0"/>
          <w:color w:val="111827"/>
          <w:sz w:val="20"/>
        </w:rPr>
        <w:t>Supervisar la declaración y pago puntual de impuestos, retenciones y contribuciones parafiscales.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 w:val="0"/>
          <w:i w:val="0"/>
          <w:color w:val="111827"/>
          <w:sz w:val="20"/>
        </w:rPr>
        <w:t>Atender inspecciones del trabajo, fiscales, sanitarias y ambientales.</w:t>
      </w:r>
    </w:p>
    <w:p>
      <w:pPr>
        <w:keepNext/>
        <w:spacing w:before="120" w:after="40"/>
        <w:jc w:val="left"/>
      </w:pPr>
      <w:r>
        <w:rPr>
          <w:rFonts w:ascii="Calibri" w:hAnsi="Calibri" w:cs="Calibri"/>
          <w:b/>
          <w:i w:val="0"/>
          <w:color w:val="0F766E"/>
          <w:sz w:val="22"/>
        </w:rPr>
        <w:t>4.  COMPETENCIAS Y REQUISITOS</w:t>
      </w:r>
    </w:p>
    <w:p>
      <w:pPr>
        <w:keepNext/>
        <w:spacing w:before="120" w:after="40"/>
        <w:jc w:val="left"/>
      </w:pPr>
      <w:r>
        <w:rPr>
          <w:rFonts w:ascii="Calibri" w:hAnsi="Calibri" w:cs="Calibri"/>
          <w:b/>
          <w:i w:val="0"/>
          <w:color w:val="0F766E"/>
          <w:sz w:val="22"/>
        </w:rPr>
        <w:t>Competencias técnicas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 w:val="0"/>
          <w:i w:val="0"/>
          <w:color w:val="111827"/>
          <w:sz w:val="20"/>
        </w:rPr>
        <w:t>Manejo avanzado de herramientas de gestión: Excel, sistemas POS, software veterinario, sistema de nómina.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 w:val="0"/>
          <w:i w:val="0"/>
          <w:color w:val="111827"/>
          <w:sz w:val="20"/>
        </w:rPr>
        <w:t>Conocimientos de contabilidad básica, costos, presupuestos y análisis financiero.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 w:val="0"/>
          <w:i w:val="0"/>
          <w:color w:val="111827"/>
          <w:sz w:val="20"/>
        </w:rPr>
        <w:t>Conocimiento del marco legal venezolano aplicable al sector veterinario y comercial.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 w:val="0"/>
          <w:i w:val="0"/>
          <w:color w:val="111827"/>
          <w:sz w:val="20"/>
        </w:rPr>
        <w:t>Gestión de inventarios, compras y cadena de suministro.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 w:val="0"/>
          <w:i w:val="0"/>
          <w:color w:val="111827"/>
          <w:sz w:val="20"/>
        </w:rPr>
        <w:t>Interpretación de indicadores de gestión (KPIs) y cuadros de mando.</w:t>
      </w:r>
    </w:p>
    <w:p>
      <w:pPr>
        <w:keepNext/>
        <w:spacing w:before="120" w:after="40"/>
        <w:jc w:val="left"/>
      </w:pPr>
      <w:r>
        <w:rPr>
          <w:rFonts w:ascii="Calibri" w:hAnsi="Calibri" w:cs="Calibri"/>
          <w:b/>
          <w:i w:val="0"/>
          <w:color w:val="0F766E"/>
          <w:sz w:val="22"/>
        </w:rPr>
        <w:t>Competencias blandas (actitudinales)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 w:val="0"/>
          <w:i w:val="0"/>
          <w:color w:val="111827"/>
          <w:sz w:val="20"/>
        </w:rPr>
        <w:t>Liderazgo, capacidad de decisión y delegación efectiva.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 w:val="0"/>
          <w:i w:val="0"/>
          <w:color w:val="111827"/>
          <w:sz w:val="20"/>
        </w:rPr>
        <w:t>Comunicación asertiva con clientes, proveedores y equipo.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 w:val="0"/>
          <w:i w:val="0"/>
          <w:color w:val="111827"/>
          <w:sz w:val="20"/>
        </w:rPr>
        <w:t>Resolución de conflictos y manejo de situaciones de presión.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 w:val="0"/>
          <w:i w:val="0"/>
          <w:color w:val="111827"/>
          <w:sz w:val="20"/>
        </w:rPr>
        <w:t>Pensamiento estratégico y orientación a resultados.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 w:val="0"/>
          <w:i w:val="0"/>
          <w:color w:val="111827"/>
          <w:sz w:val="20"/>
        </w:rPr>
        <w:t>Integridad, confidencialidad y ética profesional.</w:t>
      </w:r>
    </w:p>
    <w:p>
      <w:pPr>
        <w:keepNext/>
        <w:spacing w:before="120" w:after="40"/>
        <w:jc w:val="left"/>
      </w:pPr>
      <w:r>
        <w:rPr>
          <w:rFonts w:ascii="Calibri" w:hAnsi="Calibri" w:cs="Calibri"/>
          <w:b/>
          <w:i w:val="0"/>
          <w:color w:val="0F766E"/>
          <w:sz w:val="22"/>
        </w:rPr>
        <w:t>Requisitos académicos y legales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 w:val="0"/>
          <w:i w:val="0"/>
          <w:color w:val="111827"/>
          <w:sz w:val="20"/>
        </w:rPr>
        <w:t>Título universitario en Administración, Contaduría Pública, Ingeniería de Producción, Medicina Veterinaria o afines (preferencial).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 w:val="0"/>
          <w:i w:val="0"/>
          <w:color w:val="111827"/>
          <w:sz w:val="20"/>
        </w:rPr>
        <w:t>Experiencia comprobada mínima de cinco (5) años en cargos de gerencia general o de operaciones.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 w:val="0"/>
          <w:i w:val="0"/>
          <w:color w:val="111827"/>
          <w:sz w:val="20"/>
        </w:rPr>
        <w:t>Inscripción vigente en el IVSS, FAOV, INCES y registro mercantil actualizado.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 w:val="0"/>
          <w:i w:val="0"/>
          <w:color w:val="111827"/>
          <w:sz w:val="20"/>
        </w:rPr>
        <w:t>Curso vigente de Técnico Superior en Seguridad y Salud Laboral o delegado del Comité SST (LOPCYMAT art. 46).</w:t>
      </w:r>
    </w:p>
    <w:p>
      <w:pPr>
        <w:keepNext/>
        <w:spacing w:before="120" w:after="40"/>
        <w:jc w:val="left"/>
      </w:pPr>
      <w:r>
        <w:rPr>
          <w:rFonts w:ascii="Calibri" w:hAnsi="Calibri" w:cs="Calibri"/>
          <w:b/>
          <w:i w:val="0"/>
          <w:color w:val="0F766E"/>
          <w:sz w:val="22"/>
        </w:rPr>
        <w:t>5.  CONDICIONES DE TRABAJO Y RIESGOS</w:t>
      </w:r>
    </w:p>
    <w:p>
      <w:pPr>
        <w:spacing w:before="40" w:after="40" w:line="312" w:lineRule="auto"/>
        <w:jc w:val="both"/>
      </w:pPr>
      <w:r>
        <w:rPr>
          <w:rFonts w:ascii="Calibri" w:hAnsi="Calibri" w:cs="Calibri"/>
          <w:b w:val="0"/>
          <w:i w:val="0"/>
          <w:color w:val="111827"/>
          <w:sz w:val="20"/>
        </w:rPr>
        <w:t>Lugar de trabajo: Oficina administrativa de la sede en Av. Francisco de Miranda, Local N° 1, Los Teques, Miranda; con circulación por las áreas de clínica, tienda y peluquería.</w:t>
      </w:r>
    </w:p>
    <w:p>
      <w:pPr>
        <w:spacing w:before="0" w:after="40" w:line="312" w:lineRule="auto"/>
        <w:jc w:val="both"/>
      </w:pPr>
      <w:r>
        <w:rPr>
          <w:rFonts w:ascii="Calibri" w:hAnsi="Calibri" w:cs="Calibri"/>
          <w:b w:val="0"/>
          <w:i w:val="0"/>
          <w:color w:val="111827"/>
          <w:sz w:val="20"/>
        </w:rPr>
        <w:t>Jornada: Jornada diurna mixta de lunes a sábado, 40 horas semanales distribuidas conforme a LOTTT art. 173. Rotación de guardias los fines de semana para supervisión remota.</w:t>
      </w:r>
    </w:p>
    <w:p>
      <w:pPr>
        <w:spacing w:before="80" w:after="20" w:line="312" w:lineRule="auto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>Equipos de protección personal (EPP) obligatorios: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 w:val="0"/>
          <w:i w:val="0"/>
          <w:color w:val="111827"/>
          <w:sz w:val="20"/>
        </w:rPr>
        <w:t>Uniforme corporativo y carné identificatorio.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 w:val="0"/>
          <w:i w:val="0"/>
          <w:color w:val="111827"/>
          <w:sz w:val="20"/>
        </w:rPr>
        <w:t>Calzado cerrado antideslizante.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 w:val="0"/>
          <w:i w:val="0"/>
          <w:color w:val="111827"/>
          <w:sz w:val="20"/>
        </w:rPr>
        <w:t>Uso ocasional de mascarilla y guantes al ingresar a áreas clínicas o de depósito.</w:t>
      </w:r>
    </w:p>
    <w:p>
      <w:pPr>
        <w:spacing w:before="80" w:after="20" w:line="312" w:lineRule="auto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>Riesgos principales del cargo: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 w:val="0"/>
          <w:i w:val="0"/>
          <w:color w:val="111827"/>
          <w:sz w:val="20"/>
        </w:rPr>
        <w:t>Ergonómico por trabajo prolongado en computadora y posturas sedentes.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 w:val="0"/>
          <w:i w:val="0"/>
          <w:color w:val="111827"/>
          <w:sz w:val="20"/>
        </w:rPr>
        <w:t>Estrés laboral por toma de decisiones y atención simultánea de múltiples frentes.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 w:val="0"/>
          <w:i w:val="0"/>
          <w:color w:val="111827"/>
          <w:sz w:val="20"/>
        </w:rPr>
        <w:t>Biológico eventual al circular por áreas de hospitalización y quirófano (NT-01-2008).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 w:val="0"/>
          <w:i w:val="0"/>
          <w:color w:val="111827"/>
          <w:sz w:val="20"/>
        </w:rPr>
        <w:t>Riesgo psicosocial por carga de responsabilidad y conflictos interpersonales.</w:t>
      </w:r>
    </w:p>
    <w:p>
      <w:pPr>
        <w:spacing w:before="160" w:after="120"/>
        <w:pBdr>
          <w:bottom w:val="single" w:sz="8" w:space="1" w:color="0F766E"/>
        </w:pBdr>
      </w:pPr>
    </w:p>
    <w:p>
      <w:pPr>
        <w:keepNext/>
        <w:spacing w:before="120" w:after="40"/>
        <w:jc w:val="left"/>
      </w:pPr>
      <w:r>
        <w:rPr>
          <w:rFonts w:ascii="Calibri" w:hAnsi="Calibri" w:cs="Calibri"/>
          <w:b/>
          <w:i w:val="0"/>
          <w:color w:val="0F766E"/>
          <w:sz w:val="22"/>
        </w:rPr>
        <w:t>CARTA DE RECEPCIÓN Y ACEPTACIÓN</w:t>
      </w:r>
    </w:p>
    <w:p>
      <w:pPr>
        <w:spacing w:before="0" w:after="80" w:line="312" w:lineRule="auto"/>
        <w:jc w:val="both"/>
      </w:pPr>
      <w:r>
        <w:rPr>
          <w:rFonts w:ascii="Calibri" w:hAnsi="Calibri" w:cs="Calibri"/>
          <w:b w:val="0"/>
          <w:i w:val="0"/>
          <w:sz w:val="20"/>
        </w:rPr>
        <w:t>Yo, _____________________________________________, titular de la cédula de identidad N° V-___________________, en mi condición de trabajador(a) de GRUPO CAVAL 1003, C.A. (ALIKA PETS), designado(a) para el cargo de GERENTE GENERAL, declaro por medio de la presente que: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/>
          <w:i w:val="0"/>
          <w:color w:val="111827"/>
          <w:sz w:val="20"/>
        </w:rPr>
        <w:t xml:space="preserve">PRIMERO:  </w:t>
      </w:r>
      <w:r>
        <w:rPr>
          <w:rFonts w:ascii="Calibri" w:hAnsi="Calibri" w:cs="Calibri"/>
          <w:b w:val="0"/>
          <w:i w:val="0"/>
          <w:color w:val="111827"/>
          <w:sz w:val="20"/>
        </w:rPr>
        <w:t>He recibido copia íntegra y legible del documento titulado «Descripción de Cargo — GERENTE GENERAL», así como las explicaciones verbales necesarias para su correcta comprensión.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/>
          <w:i w:val="0"/>
          <w:color w:val="111827"/>
          <w:sz w:val="20"/>
        </w:rPr>
        <w:t xml:space="preserve">SEGUNDO:  </w:t>
      </w:r>
      <w:r>
        <w:rPr>
          <w:rFonts w:ascii="Calibri" w:hAnsi="Calibri" w:cs="Calibri"/>
          <w:b w:val="0"/>
          <w:i w:val="0"/>
          <w:color w:val="111827"/>
          <w:sz w:val="20"/>
        </w:rPr>
        <w:t>He leído en su totalidad el contenido del mencionado documento, comprendo mis funciones, responsabilidades, competencias y condiciones de trabajo, y me comprometo a cumplirlas fielmente durante toda la vigencia de mi relación laboral con la empresa.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/>
          <w:i w:val="0"/>
          <w:color w:val="111827"/>
          <w:sz w:val="20"/>
        </w:rPr>
        <w:t xml:space="preserve">TERCERO:  </w:t>
      </w:r>
      <w:r>
        <w:rPr>
          <w:rFonts w:ascii="Calibri" w:hAnsi="Calibri" w:cs="Calibri"/>
          <w:b w:val="0"/>
          <w:i w:val="0"/>
          <w:color w:val="111827"/>
          <w:sz w:val="20"/>
        </w:rPr>
        <w:t>Entiendo que el incumplimiento de las disposiciones aquí contenidas podrá dar lugar a las sanciones disciplinarias previstas en el Reglamento Interno de Trabajo y, según la gravedad, a la terminación de la relación laboral por causa justificada conforme al artículo 79 de la Ley Orgánica del Trabajo, los Trabajadores y las Trabajadoras (LOTTT).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/>
          <w:i w:val="0"/>
          <w:color w:val="111827"/>
          <w:sz w:val="20"/>
        </w:rPr>
        <w:t xml:space="preserve">CUARTO:  </w:t>
      </w:r>
      <w:r>
        <w:rPr>
          <w:rFonts w:ascii="Calibri" w:hAnsi="Calibri" w:cs="Calibri"/>
          <w:b w:val="0"/>
          <w:i w:val="0"/>
          <w:color w:val="111827"/>
          <w:sz w:val="20"/>
        </w:rPr>
        <w:t>Acepto que la presente firma constituye prueba fehaciente de la entrega y recepción del documento, renunciando a alegar desconocimiento de su contenido.</w:t>
      </w:r>
    </w:p>
    <w:p>
      <w:pPr>
        <w:spacing w:before="0" w:after="40" w:line="312" w:lineRule="auto"/>
        <w:jc w:val="both"/>
      </w:pPr>
      <w:r>
        <w:rPr>
          <w:rFonts w:ascii="Calibri" w:hAnsi="Calibri" w:cs="Calibri"/>
          <w:b w:val="0"/>
          <w:i w:val="0"/>
          <w:sz w:val="12"/>
        </w:rPr>
      </w:r>
    </w:p>
    <w:p>
      <w:pPr>
        <w:spacing w:before="0" w:after="200" w:line="312" w:lineRule="auto"/>
        <w:jc w:val="both"/>
      </w:pPr>
      <w:r>
        <w:rPr>
          <w:rFonts w:ascii="Calibri" w:hAnsi="Calibri" w:cs="Calibri"/>
          <w:b w:val="0"/>
          <w:i w:val="0"/>
          <w:sz w:val="20"/>
        </w:rPr>
        <w:t>En fe de lo cual firmo la presente carta en la ciudad de Los Teques, Estado Miranda, a los ____ días del mes de ________________ de ________.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color="auto" w:fill="E2E8F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40" w:line="240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0F766E"/>
                <w:sz w:val="20"/>
              </w:rPr>
              <w:t>EL(LA) TRABAJADOR(A)</w:t>
            </w:r>
          </w:p>
          <w:p>
            <w:pPr>
              <w:spacing w:before="440" w:after="40" w:line="240" w:lineRule="auto"/>
              <w:jc w:val="center"/>
            </w:pPr>
            <w:r>
              <w:rPr>
                <w:rFonts w:ascii="Calibri" w:hAnsi="Calibri" w:cs="Calibri"/>
                <w:b w:val="0"/>
                <w:i w:val="0"/>
                <w:sz w:val="18"/>
              </w:rPr>
              <w:t>______________________________</w:t>
            </w:r>
          </w:p>
          <w:p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b w:val="0"/>
                <w:i/>
                <w:color w:val="556575"/>
                <w:sz w:val="16"/>
              </w:rPr>
              <w:t>Firma · C.I.: ____________________</w:t>
            </w:r>
          </w:p>
          <w:p>
            <w:pPr>
              <w:spacing w:before="80" w:after="0" w:line="240" w:lineRule="auto"/>
              <w:jc w:val="center"/>
            </w:pPr>
            <w:r>
              <w:rPr>
                <w:rFonts w:ascii="Calibri" w:hAnsi="Calibri" w:cs="Calibri"/>
                <w:b w:val="0"/>
                <w:i/>
                <w:color w:val="556575"/>
                <w:sz w:val="16"/>
              </w:rPr>
              <w:t>Fecha: ____ / ____ / ________</w:t>
            </w:r>
          </w:p>
        </w:tc>
        <w:tc>
          <w:tcPr>
            <w:tcW w:type="dxa" w:w="4706"/>
            <w:shd w:val="clear" w:color="auto" w:fill="E2E8F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40" w:line="240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0F766E"/>
                <w:sz w:val="20"/>
              </w:rPr>
              <w:t>DIRECTORA GERENTE</w:t>
            </w:r>
          </w:p>
          <w:p>
            <w:pPr>
              <w:spacing w:before="440" w:after="40" w:line="240" w:lineRule="auto"/>
              <w:jc w:val="center"/>
            </w:pPr>
            <w:r>
              <w:rPr>
                <w:rFonts w:ascii="Calibri" w:hAnsi="Calibri" w:cs="Calibri"/>
                <w:b w:val="0"/>
                <w:i w:val="0"/>
                <w:sz w:val="18"/>
              </w:rPr>
              <w:t>______________________________</w:t>
            </w:r>
          </w:p>
          <w:p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i w:val="0"/>
                <w:color w:val="111827"/>
                <w:sz w:val="18"/>
              </w:rPr>
              <w:t>ESNATLIM ELENA SIMOZA</w:t>
            </w:r>
          </w:p>
          <w:p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b w:val="0"/>
                <w:i w:val="0"/>
                <w:color w:val="556575"/>
                <w:sz w:val="16"/>
              </w:rPr>
              <w:t>C.I. V-17.976.287</w:t>
            </w:r>
          </w:p>
          <w:p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b w:val="0"/>
                <w:i/>
                <w:color w:val="556575"/>
                <w:sz w:val="16"/>
              </w:rPr>
              <w:t>Directora Gerente</w:t>
            </w:r>
          </w:p>
          <w:p>
            <w:pPr>
              <w:spacing w:before="80" w:after="0" w:line="240" w:lineRule="auto"/>
              <w:jc w:val="center"/>
            </w:pPr>
            <w:r>
              <w:rPr>
                <w:rFonts w:ascii="Calibri" w:hAnsi="Calibri" w:cs="Calibri"/>
                <w:b w:val="0"/>
                <w:i/>
                <w:color w:val="556575"/>
                <w:sz w:val="16"/>
              </w:rPr>
              <w:t>Fecha: ____ / ____ / ________</w:t>
            </w:r>
          </w:p>
        </w:tc>
      </w:tr>
    </w:tbl>
    <w:p>
      <w:pPr>
        <w:spacing w:after="80"/>
      </w:pPr>
    </w:p>
    <w:sectPr w:rsidR="00FC693F" w:rsidRPr="0006063C" w:rsidSect="00034616">
      <w:footerReference w:type="default" r:id="rId9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cs="Calibri"/>
        <w:b w:val="0"/>
        <w:i w:val="0"/>
        <w:color w:val="9098A8"/>
        <w:sz w:val="16"/>
      </w:rPr>
      <w:t xml:space="preserve">ALIKA PETS  ·  Grupo Caval 1003, C.A.  ·  RIF J501662533  ·  Descripción Cargo — Gerente General v3.0  ·  Página </w:t>
    </w:r>
    <w:r>
      <w:rPr>
        <w:rFonts w:ascii="Calibri" w:hAnsi="Calibri" w:cs="Calibri"/>
        <w:b w:val="0"/>
        <w:i w:val="0"/>
        <w:color w:val="9098A8"/>
        <w:sz w:val="16"/>
      </w:rPr>
      <w:fldChar w:fldCharType="begin"/>
      <w:instrText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12" w:lineRule="auto" w:after="80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