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NOTIFICACIÓN DE RIESGOS</w:t>
            </w:r>
          </w:p>
          <w:p>
            <w:pPr>
              <w:spacing w:before="0"/>
              <w:jc w:val="right"/>
            </w:pPr>
            <w:r>
              <w:rPr>
                <w:rFonts w:ascii="Calibri" w:hAnsi="Calibri" w:cs="Calibri"/>
                <w:b w:val="0"/>
                <w:i/>
                <w:color w:val="556575"/>
                <w:sz w:val="18"/>
              </w:rPr>
              <w:t>Art. 56 LOPCYMAT</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NOTIFICACIÓN DE RIESGOS — GERENTE</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56 de la LOPCYMAT, GRUPO CAVAL 1003, C.A. (marca ALIKA PETS) notifica formalmente al trabajador(a) los riesgos laborales asociados al cargo de «Gerente», así como las medidas de prevención, control y atención en caso de accidente de trabajo o enfermedad ocupacional.</w:t>
      </w:r>
    </w:p>
    <w:p>
      <w:pPr>
        <w:keepNext/>
        <w:spacing w:before="120" w:after="40"/>
        <w:jc w:val="left"/>
      </w:pPr>
      <w:r>
        <w:rPr>
          <w:rFonts w:ascii="Calibri" w:hAnsi="Calibri" w:cs="Calibri"/>
          <w:b/>
          <w:i w:val="0"/>
          <w:color w:val="0F766E"/>
          <w:sz w:val="22"/>
        </w:rPr>
        <w:t>IDENTIFICACIÓN DEL TRABAJADOR(A)</w:t>
      </w:r>
    </w:p>
    <w:tbl>
      <w:tblPr>
        <w:tblW w:type="auto" w:w="0"/>
        <w:jc w:val="center"/>
        <w:tblLayout w:type="fixed"/>
        <w:tblLook w:firstColumn="1" w:firstRow="1" w:lastColumn="0" w:lastRow="0" w:noHBand="0" w:noVBand="1" w:val="04A0"/>
      </w:tblPr>
      <w:tblGrid>
        <w:gridCol w:w="2268"/>
        <w:gridCol w:w="7540"/>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y Apellido: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Gerente</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notificación:</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DESCRIPCIÓN DEL CARGO Y TAREAS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Descripción del cargo.  </w:t>
      </w:r>
      <w:r>
        <w:rPr>
          <w:rFonts w:ascii="Calibri" w:hAnsi="Calibri" w:cs="Calibri"/>
          <w:b w:val="0"/>
          <w:i w:val="0"/>
          <w:color w:val="111827"/>
          <w:sz w:val="20"/>
        </w:rPr>
        <w:t>El/La Gerente es responsable de la planificación, coordinación y supervisión general de las operaciones de LA EMPRESA (clínica veterinaria, tienda y peluquería canina), así como del cumplimiento de los objetivos comerciales, legales y administrativos. Realiza tareas administrativas, atención al cliente, manejo de personal, control de inventario y reportes contables.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Tareas principales.  </w:t>
      </w:r>
      <w:r>
        <w:rPr>
          <w:rFonts w:ascii="Calibri" w:hAnsi="Calibri" w:cs="Calibri"/>
          <w:b w:val="0"/>
          <w:i w:val="0"/>
          <w:color w:val="111827"/>
          <w:sz w:val="20"/>
        </w:rPr>
        <w:t>Las tareas principales del cargo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Supervisión del personal y cumplimiento de horarios.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Gestión administrativa: nómina, contratos, declaraciones IVSS/FAOV/INCES/ISLR.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Atención al cliente y resolución de quejas.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Control de inventario y compras.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 caja y conciliación diaria.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Reportes contables y reunion con la Directora Gerente.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Movilización entre áreas (clínica, tienda, peluquería, depósito).</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MATRIZ DE IDENTIFICACIÓN DE PELIGROS Y EVALUACIÓN</w:t>
      </w:r>
    </w:p>
    <w:p>
      <w:pPr>
        <w:spacing w:before="0" w:after="80" w:line="312" w:lineRule="auto"/>
        <w:jc w:val="both"/>
      </w:pPr>
      <w:r>
        <w:rPr>
          <w:rFonts w:ascii="Calibri" w:hAnsi="Calibri" w:cs="Calibri"/>
          <w:b w:val="0"/>
          <w:i w:val="0"/>
          <w:sz w:val="20"/>
        </w:rPr>
        <w:t>Se identifican los siguientes peligros asociados al cargo y se evalúa el nivel de riesgo según la metodología NT-01-2008:</w:t>
      </w:r>
    </w:p>
    <w:tbl>
      <w:tblPr>
        <w:tblW w:type="auto" w:w="0"/>
        <w:jc w:val="center"/>
        <w:tblLayout w:type="fixed"/>
        <w:tblLook w:firstColumn="1" w:firstRow="1" w:lastColumn="0" w:lastRow="0" w:noHBand="0" w:noVBand="1" w:val="04A0"/>
      </w:tblPr>
      <w:tblGrid>
        <w:gridCol w:w="454"/>
        <w:gridCol w:w="4649"/>
        <w:gridCol w:w="1417"/>
        <w:gridCol w:w="1417"/>
        <w:gridCol w:w="1871"/>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64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Peligro / Riesgo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Probabilidad</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Consecuencia</w:t>
            </w:r>
          </w:p>
        </w:tc>
        <w:tc>
          <w:tcPr>
            <w:tcW w:type="dxa" w:w="187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Estrés laboral y carga mental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Trastornos musculoesqueléticos (postura sedente)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Ligeramente dañino</w:t>
            </w:r>
          </w:p>
        </w:tc>
        <w:tc>
          <w:tcPr>
            <w:tcW w:type="dxa" w:w="1871"/>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  TRIVIAL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Fatiga visual (pantallas)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Ligeramente 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Sobreesfuerzo al movilizar carga ocasional</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eléctrico (equipos oficina)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ergonómico por movilidad entre áreas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Ligeramente 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eventual a fluidos/biológicos (visita áreas)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psicosocial por conflicto interpersonal</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bl>
    <w:p>
      <w:pPr>
        <w:spacing w:after="80"/>
      </w:pP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MATRIZ VISUAL DE EVALUACIÓN</w:t>
      </w:r>
    </w:p>
    <w:p>
      <w:pPr>
        <w:keepNext/>
        <w:spacing w:before="120" w:after="40"/>
        <w:jc w:val="left"/>
      </w:pPr>
      <w:r>
        <w:rPr>
          <w:rFonts w:ascii="Calibri" w:hAnsi="Calibri" w:cs="Calibri"/>
          <w:b/>
          <w:i w:val="0"/>
          <w:color w:val="0F766E"/>
          <w:sz w:val="22"/>
        </w:rPr>
        <w:t>MATRIZ VISUAL DE EVALUACIÓN DE RIESGOS (NT-01-2008)</w:t>
      </w:r>
    </w:p>
    <w:p>
      <w:pPr>
        <w:spacing w:before="0" w:after="80" w:line="312" w:lineRule="auto"/>
        <w:jc w:val="both"/>
      </w:pPr>
      <w:r>
        <w:rPr>
          <w:rFonts w:ascii="Calibri" w:hAnsi="Calibri" w:cs="Calibri"/>
          <w:b w:val="0"/>
          <w:i/>
          <w:sz w:val="18"/>
        </w:rPr>
        <w:t>Probabilidad: Baja(1) / Media(2) / Alta(3).  Consecuencia: Ligeramente dañino(1) / Dañino(2) / Muy dañino(3).  Nivel = Probabilidad × Consecuencia.</w:t>
      </w:r>
    </w:p>
    <w:tbl>
      <w:tblPr>
        <w:tblW w:type="auto" w:w="0"/>
        <w:jc w:val="center"/>
        <w:tblLayout w:type="fixed"/>
        <w:tblLook w:firstColumn="1" w:firstRow="1" w:lastColumn="0" w:lastRow="0" w:noHBand="0" w:noVBand="1" w:val="04A0"/>
      </w:tblPr>
      <w:tblGrid>
        <w:gridCol w:w="2551"/>
        <w:gridCol w:w="2268"/>
        <w:gridCol w:w="2268"/>
        <w:gridCol w:w="2268"/>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Probabilidad ↓ / Consecuencia →</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Ligeramente dañino (1)</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Dañino (2)</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Muy dañino (3)</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Alta (3)</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(3×1=3)</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(3×2=6)</w:t>
            </w:r>
          </w:p>
        </w:tc>
        <w:tc>
          <w:tcPr>
            <w:tcW w:type="dxa" w:w="226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w:t>
            </w:r>
            <w:r>
              <w:br/>
            </w:r>
            <w:r>
              <w:rPr>
                <w:rFonts w:ascii="Calibri" w:hAnsi="Calibri" w:cs="Calibri"/>
                <w:b/>
                <w:i w:val="0"/>
                <w:color w:val="B91C1C"/>
                <w:sz w:val="16"/>
              </w:rPr>
              <w:t>INTOLERABLE</w:t>
            </w:r>
            <w:r>
              <w:br/>
            </w:r>
            <w:r>
              <w:rPr>
                <w:rFonts w:ascii="Calibri" w:hAnsi="Calibri" w:cs="Calibri"/>
                <w:b/>
                <w:i w:val="0"/>
                <w:color w:val="B91C1C"/>
                <w:sz w:val="16"/>
              </w:rPr>
              <w:t>(3×3=9)</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Media (2)</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(2×1=2)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(2×2=4)</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(2×3=6)</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Baja (1)</w:t>
            </w:r>
          </w:p>
        </w:tc>
        <w:tc>
          <w:tcPr>
            <w:tcW w:type="dxa" w:w="226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w:t>
            </w:r>
            <w:r>
              <w:br/>
            </w:r>
            <w:r>
              <w:rPr>
                <w:rFonts w:ascii="Calibri" w:hAnsi="Calibri" w:cs="Calibri"/>
                <w:b/>
                <w:i w:val="0"/>
                <w:color w:val="047857"/>
                <w:sz w:val="16"/>
              </w:rPr>
              <w:t>TRIVIAL</w:t>
            </w:r>
            <w:r>
              <w:br/>
            </w:r>
            <w:r>
              <w:rPr>
                <w:rFonts w:ascii="Calibri" w:hAnsi="Calibri" w:cs="Calibri"/>
                <w:b/>
                <w:i w:val="0"/>
                <w:color w:val="047857"/>
                <w:sz w:val="16"/>
              </w:rPr>
              <w:t>(1×1=1)</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(1×2=2)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(1×3=3)</w:t>
            </w:r>
          </w:p>
        </w:tc>
      </w:tr>
    </w:tbl>
    <w:p>
      <w:pPr>
        <w:spacing w:after="80"/>
      </w:pPr>
    </w:p>
    <w:p>
      <w:pPr>
        <w:spacing w:before="0" w:after="40" w:line="312" w:lineRule="auto"/>
        <w:jc w:val="both"/>
      </w:pPr>
      <w:r>
        <w:rPr>
          <w:rFonts w:ascii="Calibri" w:hAnsi="Calibri" w:cs="Calibri"/>
          <w:b/>
          <w:i w:val="0"/>
          <w:sz w:val="18"/>
        </w:rPr>
        <w:t>Leyenda de niveles: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2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  ·  TRIVIAL</w:t>
            </w:r>
          </w:p>
        </w:tc>
        <w:tc>
          <w:tcPr>
            <w:tcW w:type="dxa" w:w="192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  ·  TOLERABLE</w:t>
            </w:r>
          </w:p>
        </w:tc>
        <w:tc>
          <w:tcPr>
            <w:tcW w:type="dxa" w:w="192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  ·  MODERADO</w:t>
            </w:r>
          </w:p>
        </w:tc>
        <w:tc>
          <w:tcPr>
            <w:tcW w:type="dxa" w:w="192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  ·  IMPORTANTE</w:t>
            </w:r>
          </w:p>
        </w:tc>
        <w:tc>
          <w:tcPr>
            <w:tcW w:type="dxa" w:w="192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  ·  INTOLERABLE</w:t>
            </w:r>
          </w:p>
        </w:tc>
      </w:tr>
    </w:tbl>
    <w:p>
      <w:pPr>
        <w:spacing w:after="120"/>
      </w:pP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EQUIPOS DE PROTECCIÓN PERSONAL</w:t>
      </w:r>
    </w:p>
    <w:p>
      <w:pPr>
        <w:keepNext/>
        <w:spacing w:before="120" w:after="40"/>
        <w:jc w:val="left"/>
      </w:pPr>
      <w:r>
        <w:rPr>
          <w:rFonts w:ascii="Calibri" w:hAnsi="Calibri" w:cs="Calibri"/>
          <w:b/>
          <w:i w:val="0"/>
          <w:color w:val="0F766E"/>
          <w:sz w:val="22"/>
        </w:rPr>
        <w:t>EQUIPOS DE PROTECCIÓN PERSONAL (EPP) OBLIGATORIO</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EPP</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Uso / Procedimiento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Calzado cerrado antideslizante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Uso permanente en jornada laboral.</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nitrilo</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manejo ocasional de mercancía o productos químicos.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quirúrgica</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Visitas a áreas clínicas o de hospitalización.</w:t>
            </w:r>
          </w:p>
        </w:tc>
      </w:tr>
    </w:tbl>
    <w:p>
      <w:pPr>
        <w:spacing w:after="80"/>
      </w:pP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MEDIDAS DE PREVENCIÓN Y CONTROL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pausas activas cada 90 minutos para reducir el sedentarismo y la fatiga visual.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postura ergonómica frente al computador: monitor a la altura de los ojos, silla con respaldo lumbar.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manejo del estrés, gestión del tiempo y resolución de conflictos.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Programa de Vigilancia Médica (NT-02-2008): examen periódico anual.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iluminación adecuada y evitar reflejos en pantallas.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Revisar instalaciones eléctricas periódicamente (responsable de mantenimiento).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prevención de asaltos y manejo de situaciones de estrés.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PROCEDIMIENTO ANTE EMERGENCIAS</w:t>
      </w:r>
    </w:p>
    <w:p>
      <w:pPr>
        <w:keepNext/>
        <w:spacing w:before="120" w:after="40"/>
        <w:jc w:val="left"/>
      </w:pPr>
      <w:r>
        <w:rPr>
          <w:rFonts w:ascii="Calibri" w:hAnsi="Calibri" w:cs="Calibri"/>
          <w:b/>
          <w:i w:val="0"/>
          <w:color w:val="0F766E"/>
          <w:sz w:val="22"/>
        </w:rPr>
        <w:t>PROCEDIMIENTO ANTE EMERGENCIAS</w:t>
      </w:r>
    </w:p>
    <w:p>
      <w:pPr>
        <w:spacing w:before="0" w:after="40" w:line="312" w:lineRule="auto"/>
        <w:jc w:val="both"/>
      </w:pPr>
      <w:r>
        <w:rPr>
          <w:rFonts w:ascii="Calibri" w:hAnsi="Calibri" w:cs="Calibri"/>
          <w:b w:val="0"/>
          <w:i w:val="0"/>
          <w:sz w:val="20"/>
        </w:rPr>
        <w:t>Ante cualquier accidente de trabajo o emergencia, el trabajador(a) debe aplicar el siguiente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Prestar primeros auxilios inmediatos según el tipo de lesión.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Notificar al supervisor directo en un máximo de 30 minutos.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Reportar formalmente en el Formulario de Incidente en un máximo de 2 horas (Art. 73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Acudir al centro asistencial del IVSS-PMSSO designado.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Completar el reporte al IVSS/INPSASEL según el plazo legal.</w:t>
      </w:r>
    </w:p>
    <w:p>
      <w:pPr>
        <w:spacing w:before="0" w:after="40" w:line="312" w:lineRule="auto"/>
        <w:jc w:val="both"/>
      </w:pPr>
      <w:r>
        <w:rPr>
          <w:rFonts w:ascii="Calibri" w:hAnsi="Calibri" w:cs="Calibri"/>
          <w:b/>
          <w:i w:val="0"/>
          <w:sz w:val="18"/>
        </w:rPr>
        <w:t>Acciones específicas para este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 caso de asalto: NO oponer resistencia, colaborar y activar botón de pánico o llamar al 911 una vez fuera de peligro.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 caso de malestar físico o estrés agudo: notificar a la Directora Gerente y acudir al centro asistencial.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 caso de accidente en tránsito (in itinere): reportar en menos de 1 día hábil al IVSS.</w:t>
      </w:r>
    </w:p>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DECLARACIÓN DEL TRABAJADOR(A) Y FIRMA</w:t>
      </w:r>
    </w:p>
    <w:p>
      <w:pPr>
        <w:keepNext/>
        <w:spacing w:before="120" w:after="40"/>
        <w:jc w:val="left"/>
      </w:pPr>
      <w:r>
        <w:rPr>
          <w:rFonts w:ascii="Calibri" w:hAnsi="Calibri" w:cs="Calibri"/>
          <w:b/>
          <w:i w:val="0"/>
          <w:color w:val="0F766E"/>
          <w:sz w:val="22"/>
        </w:rPr>
        <w:t>DECLARACIÓN DEL TRABAJADOR(A) — Art. 56 LOPCYMAT</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(marca ALIKA PETS), declaro haber sido notificado(a) por la empresa sobre los riesgos laborales asociados a mi cargo, así como sobre las medidas de prevención, control y protección establecidas, conforme al artículo 56 de la Ley Orgánica de Prevención, Condiciones y Medio Ambiente de Trabajo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He recibido información clara y suficiente sobre los riesgos a los que estaré expuesto(a) en el desempeño de mis funciones.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y me comprometo a utilizar correctamente los Equipos de Protección Personal (EPP) entregados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los procedimientos de emergencia y de reporte de incidentes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 comprometo a participar en las actividades de capacitación y en el Programa de Seguridad y Salud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Entiendo que tengo derecho a ser reubicado(a) en caso de embarazo, lactancia o condición de salud que así lo requiera (Art. 78 LOPCYMAT).</w:t>
      </w:r>
    </w:p>
    <w:p>
      <w:pPr>
        <w:spacing w:before="80" w:after="160" w:line="312" w:lineRule="auto"/>
        <w:jc w:val="both"/>
      </w:pPr>
      <w:r>
        <w:rPr>
          <w:rFonts w:ascii="Calibri" w:hAnsi="Calibri" w:cs="Calibri"/>
          <w:b w:val="0"/>
          <w:i w:val="0"/>
          <w:sz w:val="20"/>
        </w:rPr>
        <w:t>En fe de lo cual firmo la presente notificación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«Notificación de Riesgos — Gerente»,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Notificación de Riesgos  ·  Art. 56 LOPCYMAT  ·  v3.0  ·  Cargo: Gerente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