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933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PROCEDIMIENTO DE REPORTE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Art. 73 LOPCYMAT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v3.0  ·  SST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PROCEDIMIENTO DE REPORTE DE INCIDENTES Y ACCIDENTES DE TRABAJO</w:t>
      </w:r>
    </w:p>
    <w:p>
      <w:pPr>
        <w:spacing w:before="0" w:after="200"/>
        <w:pBdr>
          <w:bottom w:val="single" w:sz="10" w:space="1" w:color="0F766E"/>
        </w:pBdr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OBJETIVO Y ALCANCE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Objetivo.  </w:t>
      </w:r>
      <w:r>
        <w:rPr>
          <w:rFonts w:ascii="Calibri" w:hAnsi="Calibri" w:cs="Calibri"/>
          <w:b w:val="0"/>
          <w:i w:val="0"/>
          <w:color w:val="111827"/>
          <w:sz w:val="20"/>
        </w:rPr>
        <w:t>Establecer el procedimiento uniforme para el reporte, investigación y seguimiento de los incidentes y accidentes de trabajo ocurridos en las instalaciones de LA EMPRESA o en Misión de trabajo, conforme al artículo 73 de la LOPCYMAT y la Norma Técnica NT-01-2008.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Alcance.  </w:t>
      </w:r>
      <w:r>
        <w:rPr>
          <w:rFonts w:ascii="Calibri" w:hAnsi="Calibri" w:cs="Calibri"/>
          <w:b w:val="0"/>
          <w:i w:val="0"/>
          <w:color w:val="111827"/>
          <w:sz w:val="20"/>
        </w:rPr>
        <w:t>Aplica a todo el personal de LA EMPRESA, sea fijo, contratado, eventual, de prueba o pasante, así como a visitantes, proveedores y contratistas presentes en el centro de trabajo.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DEFINICIONES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Casi-accidente (near miss):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NO causó lesión pero que pudo haberla causado.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Incidente: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leve sin incapacidad.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de trabajo:  </w:t>
      </w:r>
      <w:r>
        <w:rPr>
          <w:rFonts w:ascii="Calibri" w:hAnsi="Calibri" w:cs="Calibri"/>
          <w:b w:val="0"/>
          <w:i w:val="0"/>
          <w:color w:val="111827"/>
          <w:sz w:val="20"/>
        </w:rPr>
        <w:t>Suceso acaecido en el curso del trabajo que causó lesión con incapacidad temporal o permanente, o muerte.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in itinere: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ocurrido en el trayecto entre el domicilio del trabajador(a) y el centro de trabajo, y viceversa (Art. 69 LOPCYMAT).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Enfermedad ocupacional:  </w:t>
      </w:r>
      <w:r>
        <w:rPr>
          <w:rFonts w:ascii="Calibri" w:hAnsi="Calibri" w:cs="Calibri"/>
          <w:b w:val="0"/>
          <w:i w:val="0"/>
          <w:color w:val="111827"/>
          <w:sz w:val="20"/>
        </w:rPr>
        <w:t>Enfermedad contraída por exposición a factores de riesgo en el trabajo (Art. 70 LOPCYMAT y Lista Oficial de Enfermedades Ocupacionales).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Accidente grave:  </w:t>
      </w:r>
      <w:r>
        <w:rPr>
          <w:rFonts w:ascii="Calibri" w:hAnsi="Calibri" w:cs="Calibri"/>
          <w:b w:val="0"/>
          <w:i w:val="0"/>
          <w:color w:val="111827"/>
          <w:sz w:val="20"/>
        </w:rPr>
        <w:t>Accidente que causa la muerte del trabajador(a), o lesiones que ponen en peligro la vida, o amputación, o pérdida de un sentido, o invalidez permanente (Art. 73 LOPCYMAT).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Lista de enfermedades ocupacionales relevantes.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70 de la LOPCYMAT y la Lista Oficial de Enfermedades Ocupacionales, en LA EMPRESA se vigila especialmente: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268"/>
        <w:gridCol w:w="3685"/>
        <w:gridCol w:w="3005"/>
      </w:tblGrid>
      <w:tr>
        <w:tc>
          <w:tcPr>
            <w:tcW w:type="dxa" w:w="79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CIE-10</w:t>
            </w:r>
          </w:p>
        </w:tc>
        <w:tc>
          <w:tcPr>
            <w:tcW w:type="dxa" w:w="226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Enfermedad</w:t>
            </w:r>
          </w:p>
        </w:tc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Causa / Agente</w:t>
            </w:r>
          </w:p>
        </w:tc>
        <w:tc>
          <w:tcPr>
            <w:tcW w:type="dxa" w:w="300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Cargo expuesto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A82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Rabia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Virus rábico (mordedura)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Leptospira (orina animales)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B58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Toxoplasmosis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Toxoplasma gondii (felinos)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A23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Brucelosis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Brucella (fluidos, abortos)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B35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Dermatofitosis (tiña)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Hongos dermatofitos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B86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Sarna sarcóptica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Sarcoptes scabiei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L24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Dermatitis irritativa de contacto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Desinfectantes, champús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Aux Vet, Groomer, Encargado Tienda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J45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Asma ocupacional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Aerosoles, pelos, caspa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Aux Vet, Groomer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M75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musculoesqueléticos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Posturas forzadas, movimientos repetitivos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Z57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Exposición a radiaciones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Rayos X veterinarios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</w:t>
            </w:r>
          </w:p>
        </w:tc>
      </w:tr>
      <w:tr>
        <w:tc>
          <w:tcPr>
            <w:tcW w:type="dxa" w:w="79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F43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Trastornos por estrés laboral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Carga mental, guardias</w:t>
            </w:r>
          </w:p>
        </w:tc>
        <w:tc>
          <w:tcPr>
            <w:tcW w:type="dxa" w:w="300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MV, Gerente</w:t>
            </w:r>
          </w:p>
        </w:tc>
      </w:tr>
      <w:tr>
        <w:tc>
          <w:tcPr>
            <w:tcW w:type="dxa" w:w="79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A36</w:t>
            </w:r>
          </w:p>
        </w:tc>
        <w:tc>
          <w:tcPr>
            <w:tcW w:type="dxa" w:w="226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Tétanos</w:t>
            </w:r>
          </w:p>
        </w:tc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Clostridium tetani (heridas)</w:t>
            </w:r>
          </w:p>
        </w:tc>
        <w:tc>
          <w:tcPr>
            <w:tcW w:type="dxa" w:w="300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Todos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OBLIGATORIEDAD DEL REPORTE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FEF3C7"/>
            <w:tcBorders>
              <w:top w:val="single" w:sz="8" w:space="0" w:color="F59E0B"/>
              <w:left w:val="single" w:sz="8" w:space="0" w:color="F59E0B"/>
              <w:bottom w:val="single" w:sz="8" w:space="0" w:color="F59E0B"/>
              <w:right w:val="single" w:sz="8" w:space="0" w:color="F59E0B"/>
            </w:tcBorders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 w:line="300" w:lineRule="auto"/>
              <w:jc w:val="both"/>
            </w:pPr>
            <w:r/>
            <w:r>
              <w:rPr>
                <w:rFonts w:ascii="Calibri" w:hAnsi="Calibri"/>
                <w:b/>
                <w:i w:val="0"/>
                <w:color w:val="B91C1C"/>
                <w:sz w:val="18"/>
              </w:rPr>
              <w:t>OBLIGACIÓN LEGAL — ARTÍCULO 73 LOPCYMAT</w:t>
            </w:r>
            <w:r>
              <w:br/>
            </w:r>
            <w:r>
              <w:rPr>
                <w:rFonts w:ascii="Calibri" w:hAnsi="Calibri"/>
                <w:b w:val="0"/>
                <w:i w:val="0"/>
                <w:color w:val="111827"/>
                <w:sz w:val="18"/>
              </w:rPr>
              <w:t>Todo accidente de trabajo debe ser reportado formalmente por LA EMPRESA ante el IVSS y ante INPSASEL dentro de las DOS (2) HORAS siguientes al evento cuando se trate de accidente grave; y dentro del primer día hábil siguiente para los demás accidentes. El incumplimiento genera responsabilidad administrativa, civil y penal para LA EMPRESA y para los directivos responsables.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2c.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Responsabilidades específicas.  </w:t>
      </w:r>
      <w:r>
        <w:rPr>
          <w:rFonts w:ascii="Calibri" w:hAnsi="Calibri" w:cs="Calibri"/>
          <w:b w:val="0"/>
          <w:i w:val="0"/>
          <w:color w:val="111827"/>
          <w:sz w:val="20"/>
        </w:rPr>
        <w:t>Las responsabilidades en materia de reporte se distribuyen así: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7257"/>
      </w:tblGrid>
      <w:tr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Actor</w:t>
            </w:r>
          </w:p>
        </w:tc>
        <w:tc>
          <w:tcPr>
            <w:tcW w:type="dxa" w:w="7257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Responsabilidad principal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Trabajador(a)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inmediatamente cualquier incidente o condición insegura a su supervisor.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Supervisor directo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Recibir el reporte, completar el formulario y notificar a la Gerencia y al Comité SST.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Médico Veterinario (según caso)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Brindar atención primaria, evaluar gravedad, indicar traslado.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Comité SST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Investigar causa raíz, elaborar plan de acción, dar seguimiento al cierre.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Directora Gerente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Reportar formalmente al IVSS e INPSASEL dentro de los plazos legales; firmar reportes.</w:t>
            </w:r>
          </w:p>
        </w:tc>
      </w:tr>
      <w:tr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Representante Legal</w:t>
            </w:r>
          </w:p>
        </w:tc>
        <w:tc>
          <w:tcPr>
            <w:tcW w:type="dxa" w:w="7257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Firmar reportes oficiales y asumir representación legal ante autoridades.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Delegado(s) de Prevención</w:t>
            </w:r>
          </w:p>
        </w:tc>
        <w:tc>
          <w:tcPr>
            <w:tcW w:type="dxa" w:w="7257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Participar en la investigación, velar por derechos del trabajador(a).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CANALES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3.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Canales disponibles.  </w:t>
      </w:r>
      <w:r>
        <w:rPr>
          <w:rFonts w:ascii="Calibri" w:hAnsi="Calibri" w:cs="Calibri"/>
          <w:b w:val="0"/>
          <w:i w:val="0"/>
          <w:color w:val="111827"/>
          <w:sz w:val="20"/>
        </w:rPr>
        <w:t>El trabajador(a) puede reportar el incidente a través de los siguientes canales, en orden de preferencia: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1:  </w:t>
      </w:r>
      <w:r>
        <w:rPr>
          <w:rFonts w:ascii="Calibri" w:hAnsi="Calibri" w:cs="Calibri"/>
          <w:b w:val="0"/>
          <w:i w:val="0"/>
          <w:color w:val="111827"/>
          <w:sz w:val="20"/>
        </w:rPr>
        <w:t>Verbal inmediata + escrita en formulario (Anexo C) ante el supervisor directo.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2:  </w:t>
      </w:r>
      <w:r>
        <w:rPr>
          <w:rFonts w:ascii="Calibri" w:hAnsi="Calibri" w:cs="Calibri"/>
          <w:b w:val="0"/>
          <w:i w:val="0"/>
          <w:color w:val="111827"/>
          <w:sz w:val="20"/>
        </w:rPr>
        <w:t>Comité de Seguridad y Salud Laboral (SST).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3:  </w:t>
      </w:r>
      <w:r>
        <w:rPr>
          <w:rFonts w:ascii="Calibri" w:hAnsi="Calibri" w:cs="Calibri"/>
          <w:b w:val="0"/>
          <w:i w:val="0"/>
          <w:color w:val="111827"/>
          <w:sz w:val="20"/>
        </w:rPr>
        <w:t>Directora Gerente o Representante Legal.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Canal 4:  </w:t>
      </w:r>
      <w:r>
        <w:rPr>
          <w:rFonts w:ascii="Calibri" w:hAnsi="Calibri" w:cs="Calibri"/>
          <w:b w:val="0"/>
          <w:i w:val="0"/>
          <w:color w:val="111827"/>
          <w:sz w:val="20"/>
        </w:rPr>
        <w:t>Buzón físico de denuncia ubicado en recepción.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4.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Categorías de incidentes.  </w:t>
      </w:r>
      <w:r>
        <w:rPr>
          <w:rFonts w:ascii="Calibri" w:hAnsi="Calibri" w:cs="Calibri"/>
          <w:b w:val="0"/>
          <w:i w:val="0"/>
          <w:color w:val="111827"/>
          <w:sz w:val="20"/>
        </w:rPr>
        <w:t>Los incidentes se clasifican en las siguientes categorías para fines de reporte: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6803"/>
      </w:tblGrid>
      <w:tr>
        <w:tc>
          <w:tcPr>
            <w:tcW w:type="dxa" w:w="454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551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Categoría</w:t>
            </w:r>
          </w:p>
        </w:tc>
        <w:tc>
          <w:tcPr>
            <w:tcW w:type="dxa" w:w="680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leve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Arañazo sin incapacidad, pequeño corte sin sutura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con incapacidad temporal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que requiere reposo 3 días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3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Mordedura en cara/mano con riesgo funcional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4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Fallecimiento del trabajador(a)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Casi-accidente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Casi-mordedura, caída sin lesión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6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Dermatitis por químicos, leptospirosis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7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680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Caída en ruta al trabajo</w:t>
            </w:r>
          </w:p>
        </w:tc>
      </w:tr>
      <w:tr>
        <w:tc>
          <w:tcPr>
            <w:tcW w:type="dxa" w:w="454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8</w:t>
            </w:r>
          </w:p>
        </w:tc>
        <w:tc>
          <w:tcPr>
            <w:tcW w:type="dxa" w:w="2551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material / daño</w:t>
            </w:r>
          </w:p>
        </w:tc>
        <w:tc>
          <w:tcPr>
            <w:tcW w:type="dxa" w:w="680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Daño a equipo, derrame químico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PROCEDIMIENTO DE REPORTE — 9 PASOS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5.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Pasos.  </w:t>
      </w:r>
      <w:r>
        <w:rPr>
          <w:rFonts w:ascii="Calibri" w:hAnsi="Calibri" w:cs="Calibri"/>
          <w:b w:val="0"/>
          <w:i w:val="0"/>
          <w:color w:val="111827"/>
          <w:sz w:val="20"/>
        </w:rPr>
        <w:t>El procedimiento de reporte se compone de nueve (9) pasos obligatorios: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1:  </w:t>
      </w:r>
      <w:r>
        <w:rPr>
          <w:rFonts w:ascii="Calibri" w:hAnsi="Calibri" w:cs="Calibri"/>
          <w:b w:val="0"/>
          <w:i w:val="0"/>
          <w:color w:val="111827"/>
          <w:sz w:val="20"/>
        </w:rPr>
        <w:t>Atender inmediatamente al trabajador(a): primeros auxilios, traslado a centro asistencial del IVSS-PMSSO si es necesario.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2:  </w:t>
      </w:r>
      <w:r>
        <w:rPr>
          <w:rFonts w:ascii="Calibri" w:hAnsi="Calibri" w:cs="Calibri"/>
          <w:b w:val="0"/>
          <w:i w:val="0"/>
          <w:color w:val="111827"/>
          <w:sz w:val="20"/>
        </w:rPr>
        <w:t>Notificar verbalmente al supervisor directo en un máximo de 30 minutos.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3:  </w:t>
      </w:r>
      <w:r>
        <w:rPr>
          <w:rFonts w:ascii="Calibri" w:hAnsi="Calibri" w:cs="Calibri"/>
          <w:b w:val="0"/>
          <w:i w:val="0"/>
          <w:color w:val="111827"/>
          <w:sz w:val="20"/>
        </w:rPr>
        <w:t>Completar el Formulario de Reporte de Incidente (Anexo C) dentro de las 2 horas.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4:  </w:t>
      </w:r>
      <w:r>
        <w:rPr>
          <w:rFonts w:ascii="Calibri" w:hAnsi="Calibri" w:cs="Calibri"/>
          <w:b w:val="0"/>
          <w:i w:val="0"/>
          <w:color w:val="111827"/>
          <w:sz w:val="20"/>
        </w:rPr>
        <w:t>Reportar formalmente al IVSS e INPSASEL (accidente grave: 2 horas; otros: 1 día hábil).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5:  </w:t>
      </w:r>
      <w:r>
        <w:rPr>
          <w:rFonts w:ascii="Calibri" w:hAnsi="Calibri" w:cs="Calibri"/>
          <w:b w:val="0"/>
          <w:i w:val="0"/>
          <w:color w:val="111827"/>
          <w:sz w:val="20"/>
        </w:rPr>
        <w:t>Preservar la escena del accidente para la investigación (fotos, testigos).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6:  </w:t>
      </w:r>
      <w:r>
        <w:rPr>
          <w:rFonts w:ascii="Calibri" w:hAnsi="Calibri" w:cs="Calibri"/>
          <w:b w:val="0"/>
          <w:i w:val="0"/>
          <w:color w:val="111827"/>
          <w:sz w:val="20"/>
        </w:rPr>
        <w:t>Realizar investigación de causa raíz (5 por qué, análisis de barreras).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7:  </w:t>
      </w:r>
      <w:r>
        <w:rPr>
          <w:rFonts w:ascii="Calibri" w:hAnsi="Calibri" w:cs="Calibri"/>
          <w:b w:val="0"/>
          <w:i w:val="0"/>
          <w:color w:val="111827"/>
          <w:sz w:val="20"/>
        </w:rPr>
        <w:t>Elaborar plan de acción correctivo y preventivo con responsables y plazos.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8:  </w:t>
      </w:r>
      <w:r>
        <w:rPr>
          <w:rFonts w:ascii="Calibri" w:hAnsi="Calibri" w:cs="Calibri"/>
          <w:b w:val="0"/>
          <w:i w:val="0"/>
          <w:color w:val="111827"/>
          <w:sz w:val="20"/>
        </w:rPr>
        <w:t>Hacer seguimiento al plan de acción hasta su cierre.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PASO 9:  </w:t>
      </w:r>
      <w:r>
        <w:rPr>
          <w:rFonts w:ascii="Calibri" w:hAnsi="Calibri" w:cs="Calibri"/>
          <w:b w:val="0"/>
          <w:i w:val="0"/>
          <w:color w:val="111827"/>
          <w:sz w:val="20"/>
        </w:rPr>
        <w:t>Cerrar el caso y archivar el expediente por 10 años (Art. 183 LOTTT).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PLAZOS LEGALES DE REPORTE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6.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Tabla de plazos.  </w:t>
      </w:r>
      <w:r>
        <w:rPr>
          <w:rFonts w:ascii="Calibri" w:hAnsi="Calibri" w:cs="Calibri"/>
          <w:b w:val="0"/>
          <w:i w:val="0"/>
          <w:color w:val="111827"/>
          <w:sz w:val="20"/>
        </w:rPr>
        <w:t>Los plazos máximos de reporte conforme a la LOPCYMAT y la LOTTT son: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2948"/>
        <w:gridCol w:w="3175"/>
      </w:tblGrid>
      <w:tr>
        <w:tc>
          <w:tcPr>
            <w:tcW w:type="dxa" w:w="368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Tipo de evento</w:t>
            </w:r>
          </w:p>
        </w:tc>
        <w:tc>
          <w:tcPr>
            <w:tcW w:type="dxa" w:w="294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Ante quién</w:t>
            </w:r>
          </w:p>
        </w:tc>
        <w:tc>
          <w:tcPr>
            <w:tcW w:type="dxa" w:w="317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Plazo máximo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grave (Art. 73 LOPCYMAT)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2 HORAS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común con incapacidad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in itinere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Enfermedad ocupacional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INPSASEL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5 días hábiles</w:t>
            </w:r>
          </w:p>
        </w:tc>
      </w:tr>
      <w:tr>
        <w:tc>
          <w:tcPr>
            <w:tcW w:type="dxa" w:w="368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Accidente mortal</w:t>
            </w:r>
          </w:p>
        </w:tc>
        <w:tc>
          <w:tcPr>
            <w:tcW w:type="dxa" w:w="294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IVSS + INPSASEL + CICPC</w:t>
            </w:r>
          </w:p>
        </w:tc>
        <w:tc>
          <w:tcPr>
            <w:tcW w:type="dxa" w:w="317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Inmediato</w:t>
            </w:r>
          </w:p>
        </w:tc>
      </w:tr>
      <w:tr>
        <w:tc>
          <w:tcPr>
            <w:tcW w:type="dxa" w:w="368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Incidente (casi-accidente)</w:t>
            </w:r>
          </w:p>
        </w:tc>
        <w:tc>
          <w:tcPr>
            <w:tcW w:type="dxa" w:w="294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Registro interno + Comité SST</w:t>
            </w:r>
          </w:p>
        </w:tc>
        <w:tc>
          <w:tcPr>
            <w:tcW w:type="dxa" w:w="317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1 día hábil</w:t>
            </w:r>
          </w:p>
        </w:tc>
      </w:tr>
    </w:tbl>
    <w:p>
      <w:pPr>
        <w:spacing w:after="80"/>
      </w:pP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COMITÉ DE SEGURIDAD Y SALUD LABORAL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7.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Integración.  </w:t>
      </w:r>
      <w:r>
        <w:rPr>
          <w:rFonts w:ascii="Calibri" w:hAnsi="Calibri" w:cs="Calibri"/>
          <w:b w:val="0"/>
          <w:i w:val="0"/>
          <w:color w:val="111827"/>
          <w:sz w:val="20"/>
        </w:rPr>
        <w:t>Conforme al artículo 46 de la LOPCYMAT, LA EMPRESA mantiene un Comité de Seguridad y Salud Laboral paritario, integrado por representantes del empleador y de los trabajadores, elegidos conforme al Reglamento de la LOPCYMAT. El Comité se reúne mensualmente y participa en la investigación de todo accidente grave.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8.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Funciones del Comité.  </w:t>
      </w:r>
      <w:r>
        <w:rPr>
          <w:rFonts w:ascii="Calibri" w:hAnsi="Calibri" w:cs="Calibri"/>
          <w:b w:val="0"/>
          <w:i w:val="0"/>
          <w:color w:val="111827"/>
          <w:sz w:val="20"/>
        </w:rPr>
        <w:t>Son funciones del Comité SST: vigilar el cumplimiento del Programa SST, investigar accidentes y enfermedades ocupacionales, promover la capacitación, evaluar el Programa de Vigilancia Médica y recabar información sobre condiciones inseguras.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VIII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CONFIDENCIALIDAD Y PROHIBICIÓN DE REPRESALIAS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9.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Confidencialidad.  </w:t>
      </w:r>
      <w:r>
        <w:rPr>
          <w:rFonts w:ascii="Calibri" w:hAnsi="Calibri" w:cs="Calibri"/>
          <w:b w:val="0"/>
          <w:i w:val="0"/>
          <w:color w:val="111827"/>
          <w:sz w:val="20"/>
        </w:rPr>
        <w:t>Los datos personales del trabajador(a) accidentado se tratan conforme a la LOPDP y se comparten exclusivamente con fines de prevención, investigación, atención médica y reporte legal. El expediente se conserva por 10 años.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Prohibición de represalias.  </w:t>
      </w:r>
      <w:r>
        <w:rPr>
          <w:rFonts w:ascii="Calibri" w:hAnsi="Calibri" w:cs="Calibri"/>
          <w:b w:val="0"/>
          <w:i w:val="0"/>
          <w:color w:val="111827"/>
          <w:sz w:val="20"/>
        </w:rPr>
        <w:t>Queda terminantemente prohibida cualquier represalia contra el trabajador(a) que reporte un incidente, accidente o condición insegura, conforme al artículo 26 de la LOPCYMAT. El reporte de buena fe constituye un derecho y un deber.</w:t>
      </w:r>
    </w:p>
    <w:p>
      <w:pPr>
        <w:keepNext/>
        <w:spacing w:before="240" w:after="40"/>
        <w:jc w:val="left"/>
      </w:pPr>
      <w:r>
        <w:rPr>
          <w:rFonts w:ascii="Calibri" w:hAnsi="Calibri" w:cs="Calibri"/>
          <w:b/>
          <w:i w:val="0"/>
          <w:color w:val="556575"/>
          <w:sz w:val="20"/>
        </w:rPr>
        <w:t>CAPÍTULO IX</w:t>
      </w:r>
    </w:p>
    <w:p>
      <w:pPr>
        <w:keepNext/>
        <w:spacing w:before="0" w:after="80"/>
        <w:pBdr>
          <w:bottom w:val="single" w:sz="4" w:space="1" w:color="CBD5E1"/>
        </w:pBdr>
      </w:pPr>
      <w:r>
        <w:rPr>
          <w:rFonts w:ascii="Calibri" w:hAnsi="Calibri" w:cs="Calibri"/>
          <w:b/>
          <w:i w:val="0"/>
          <w:color w:val="0F766E"/>
          <w:sz w:val="24"/>
        </w:rPr>
        <w:t>INDICADORES Y MEJORA CONTINUA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10b.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Indicadores de gestión SST.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calcula y monitorea los siguientes indicadores mensualmente: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4252"/>
        <w:gridCol w:w="2438"/>
      </w:tblGrid>
      <w:tr>
        <w:tc>
          <w:tcPr>
            <w:tcW w:type="dxa" w:w="311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4252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Fórmula</w:t>
            </w:r>
          </w:p>
        </w:tc>
        <w:tc>
          <w:tcPr>
            <w:tcW w:type="dxa" w:w="2438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6"/>
              </w:rPr>
              <w:t>Meta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Frecuencia (IF)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con incapacidad × 200.000 / horas trabajadas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5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Índice de Severidad (IS)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× 200.000 / horas trabajadas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100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incidencia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accidentes × 100 / N° trabajadores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10%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Tasa de reporte de casi-accidentes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N° casi-accidentes / N° accidentes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&gt; 10 (cultura proactiva)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Cumplimiento de capacitación SST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Horas capacitación ejecutadas / planificadas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95%</w:t>
            </w:r>
          </w:p>
        </w:tc>
      </w:tr>
      <w:tr>
        <w:tc>
          <w:tcPr>
            <w:tcW w:type="dxa" w:w="311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Cierre de planes de acción</w:t>
            </w:r>
          </w:p>
        </w:tc>
        <w:tc>
          <w:tcPr>
            <w:tcW w:type="dxa" w:w="4252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Acciones cerradas / acciones planificadas × 100</w:t>
            </w:r>
          </w:p>
        </w:tc>
        <w:tc>
          <w:tcPr>
            <w:tcW w:type="dxa" w:w="2438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≥ 90%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Ausentismo por salud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Días perdidos por salud / días laborables × 100</w:t>
            </w:r>
          </w:p>
        </w:tc>
        <w:tc>
          <w:tcPr>
            <w:tcW w:type="dxa" w:w="2438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6"/>
              </w:rPr>
              <w:t>&lt; 3%</w:t>
            </w:r>
          </w:p>
        </w:tc>
      </w:tr>
    </w:tbl>
    <w:p>
      <w:pPr>
        <w:spacing w:after="80"/>
      </w:pP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10c.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Revisión del Programa SST.  </w:t>
      </w:r>
      <w:r>
        <w:rPr>
          <w:rFonts w:ascii="Calibri" w:hAnsi="Calibri" w:cs="Calibri"/>
          <w:b w:val="0"/>
          <w:i w:val="0"/>
          <w:color w:val="111827"/>
          <w:sz w:val="20"/>
        </w:rPr>
        <w:t>El Programa de Seguridad y Salud en el Trabajo se revisa anualmente, conforme al artículo 89 de la LOPCYMAT, con base en los indicadores calculados, los reportes de incidentes y accidentes, las auditorías internas y externas, y las recomendaciones del Comité SST. La revisión da lugar a un Plan Anual de Prevención con objetivos, metas, responsables y plazos.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10d.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Capacitación continua.  </w:t>
      </w:r>
      <w:r>
        <w:rPr>
          <w:rFonts w:ascii="Calibri" w:hAnsi="Calibri" w:cs="Calibri"/>
          <w:b w:val="0"/>
          <w:i w:val="0"/>
          <w:color w:val="111827"/>
          <w:sz w:val="20"/>
        </w:rPr>
        <w:t>Todo el personal recibe capacitación anual mínima de dieciséis (16) horas en materia de SST, conforme al artículo 56 de la LOPCYMAT. Las capacitaciones incluyen: bioseguridad veterinaria, manejo de sustancias controladas, protocolo de mordeduras, RCP, prevención de incendios, manejo de extintores, y revisión del presente Procedimiento de Reporte de Incidentes.</w:t>
      </w:r>
    </w:p>
    <w:p>
      <w:pPr>
        <w:spacing w:before="80" w:after="6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Art. 10e.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Auditorías externas.  </w:t>
      </w:r>
      <w:r>
        <w:rPr>
          <w:rFonts w:ascii="Calibri" w:hAnsi="Calibri" w:cs="Calibri"/>
          <w:b w:val="0"/>
          <w:i w:val="0"/>
          <w:color w:val="111827"/>
          <w:sz w:val="20"/>
        </w:rPr>
        <w:t>LA EMPRESA se somete a auditorías externas periódicas por parte del INPSASEL, del IVSS y, cuando aplique, del SENAC. Los hallazgos se documentan y dan lugar a planes de acción con responsables y plazos, cuyo seguimiento hace el Comité SST.</w:t>
      </w: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ANEXO C — FORMULARIO DE REPORTE DE INCIDENTE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/>
          <w:sz w:val="18"/>
        </w:rPr>
        <w:t>Este formulario se completa por duplicado: copia para expediente SST y copia para el trabajador(a).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1 — DATOS DEL TRABAJADOR(A)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Nombre completo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C.I. / Cargo / Departamento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Antigüedad / Fecha de ingreso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Edad / Sexo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2 — DATOS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Fecha y hora del incidente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 / ____ / ______  ·  ____:____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Lugar exacto del incidente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incidente (leve, grave, mortal, in itinere, enfermedad)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Categoría (ver Cap. IV)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Testigos (nombres y C.I.)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3 — DESCRIPCIÓN DEL INCIDENTE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Descripción detallada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Tarea que realizaba el trabajador(a)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Equipo / herramienta / sustancia involucrada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Factores contribuyentes (condiciones inseguras)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Actos inseguros detectados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4 — LESIONES Y ATENCIÓN MÉDICA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Tipo de lesión / parte del cuerpo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Gravedad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Centro asistencial que atendió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Tratamiento / reposo indicado (días)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Reportado al IVSS / INPSASEL (fecha y hora)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5 — INVESTIGACIÓN DE CAUSA RAÍZ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973"/>
      </w:tblGrid>
      <w:tr>
        <w:tc>
          <w:tcPr>
            <w:tcW w:type="dxa" w:w="2835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73"/>
            <w:vAlign w:val="center"/>
            <w:shd w:val="clear" w:color="auto" w:fill="0F766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Investigador designado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inmediata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básica (organizacional / humano)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Causa raíz (5 por qué)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Medidas correctivas propuestas</w:t>
            </w:r>
          </w:p>
        </w:tc>
        <w:tc>
          <w:tcPr>
            <w:tcW w:type="dxa" w:w="6973"/>
            <w:vAlign w:val="center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  <w:tr>
        <w:tc>
          <w:tcPr>
            <w:tcW w:type="dxa" w:w="2835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Responsables / Plazos</w:t>
            </w:r>
          </w:p>
        </w:tc>
        <w:tc>
          <w:tcPr>
            <w:tcW w:type="dxa" w:w="6973"/>
            <w:vAlign w:val="center"/>
            <w:shd w:val="clear" w:color="auto" w:fill="F3F4F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Calibri" w:hAnsi="Calibri" w:cs="Calibri"/>
                <w:b w:val="0"/>
                <w:i w:val="0"/>
                <w:color w:val="111827"/>
                <w:sz w:val="18"/>
              </w:rPr>
              <w:t>_______________________________________________</w:t>
            </w:r>
          </w:p>
        </w:tc>
      </w:tr>
    </w:tbl>
    <w:p>
      <w:pPr>
        <w:spacing w:after="80"/>
      </w:pPr>
    </w:p>
    <w:p>
      <w:pPr>
        <w:spacing w:before="0" w:after="40" w:line="312" w:lineRule="auto"/>
        <w:jc w:val="both"/>
      </w:pPr>
      <w:r>
        <w:rPr>
          <w:rFonts w:ascii="Calibri" w:hAnsi="Calibri" w:cs="Calibri"/>
          <w:b/>
          <w:i w:val="0"/>
          <w:color w:val="0F766E"/>
          <w:sz w:val="18"/>
        </w:rPr>
        <w:t>SECCIÓN 6 — FIRMAS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TESTIGO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3137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p>
      <w:pPr>
        <w:spacing w:before="160" w:after="120"/>
        <w:pBdr>
          <w:bottom w:val="single" w:sz="8" w:space="1" w:color="0F766E"/>
        </w:pBdr>
      </w:pPr>
    </w:p>
    <w:p>
      <w:pPr>
        <w:keepNext/>
        <w:spacing w:before="120" w:after="40"/>
        <w:jc w:val="left"/>
      </w:pPr>
      <w:r>
        <w:rPr>
          <w:rFonts w:ascii="Calibri" w:hAnsi="Calibri" w:cs="Calibri"/>
          <w:b/>
          <w:i w:val="0"/>
          <w:color w:val="0F766E"/>
          <w:sz w:val="22"/>
        </w:rPr>
        <w:t>CARTA DE RECEPCIÓN Y ACEPTACIÓN</w:t>
      </w:r>
    </w:p>
    <w:p>
      <w:pPr>
        <w:spacing w:before="0" w:after="8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_____________________________________________, titular de la cédula de identidad N° V-___________________, en mi condición de trabajador(a) de GRUPO CAVAL 1003, C.A. (ALIKA PETS), declaro por medio de la presente que: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PRIMERO:  </w:t>
      </w:r>
      <w:r>
        <w:rPr>
          <w:rFonts w:ascii="Calibri" w:hAnsi="Calibri" w:cs="Calibri"/>
          <w:b w:val="0"/>
          <w:i w:val="0"/>
          <w:color w:val="111827"/>
          <w:sz w:val="20"/>
        </w:rPr>
        <w:t>He recibido copia íntegra y legible del documento titulado «Procedimiento de Reporte de Incidentes y Accidentes de Trabajo», así como las explicaciones verbales necesarias para su correcta comprensión.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SEGUNDO:  </w:t>
      </w:r>
      <w:r>
        <w:rPr>
          <w:rFonts w:ascii="Calibri" w:hAnsi="Calibri" w:cs="Calibri"/>
          <w:b w:val="0"/>
          <w:i w:val="0"/>
          <w:color w:val="111827"/>
          <w:sz w:val="20"/>
        </w:rPr>
        <w:t>He leído en su totalidad el contenido del mencionado documento, comprendo mis obligaciones, prohibiciones y deberes, y me comprometo a cumplirlos fielmente durante toda la vigencia de mi relación laboral con la empresa.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TERCERO:  </w:t>
      </w:r>
      <w:r>
        <w:rPr>
          <w:rFonts w:ascii="Calibri" w:hAnsi="Calibri" w:cs="Calibri"/>
          <w:b w:val="0"/>
          <w:i w:val="0"/>
          <w:color w:val="111827"/>
          <w:sz w:val="20"/>
        </w:rPr>
        <w:t>Entiendo que el incumplimiento de las disposiciones aquí contenidas podrá dar lugar a las sanciones disciplinarias previstas en el Reglamento Interno de Trabajo y, según la gravedad, a la terminación de la relación laboral por causa justificada conforme al artículo 79 de la Ley Orgánica del Trabajo, los Trabajadores y las Trabajadoras (LOTTT).</w:t>
      </w:r>
    </w:p>
    <w:p>
      <w:pPr>
        <w:spacing w:after="40" w:line="300" w:lineRule="auto"/>
        <w:ind w:left="340" w:hanging="227"/>
        <w:jc w:val="both"/>
      </w:pPr>
      <w:r>
        <w:rPr>
          <w:rFonts w:ascii="Calibri" w:hAnsi="Calibri" w:cs="Calibri"/>
          <w:b/>
          <w:i w:val="0"/>
          <w:color w:val="0F766E"/>
          <w:sz w:val="20"/>
        </w:rPr>
        <w:t xml:space="preserve">•  </w:t>
      </w:r>
      <w:r>
        <w:rPr>
          <w:rFonts w:ascii="Calibri" w:hAnsi="Calibri" w:cs="Calibri"/>
          <w:b/>
          <w:i w:val="0"/>
          <w:color w:val="111827"/>
          <w:sz w:val="20"/>
        </w:rPr>
        <w:t xml:space="preserve">CUARTO:  </w:t>
      </w:r>
      <w:r>
        <w:rPr>
          <w:rFonts w:ascii="Calibri" w:hAnsi="Calibri" w:cs="Calibri"/>
          <w:b w:val="0"/>
          <w:i w:val="0"/>
          <w:color w:val="111827"/>
          <w:sz w:val="20"/>
        </w:rPr>
        <w:t>Acepto que la presente firma constituye prueba fehaciente de la entrega y recepción del documento, renunciando a alegar desconocimiento de su contenido.</w:t>
      </w:r>
    </w:p>
    <w:p>
      <w:pPr>
        <w:spacing w:before="0" w:after="40" w:line="312" w:lineRule="auto"/>
        <w:jc w:val="both"/>
      </w:pPr>
      <w:r>
        <w:rPr>
          <w:rFonts w:ascii="Calibri" w:hAnsi="Calibri" w:cs="Calibri"/>
          <w:b w:val="0"/>
          <w:i w:val="0"/>
          <w:sz w:val="12"/>
        </w:rPr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fe de lo cual firmo la presente carta 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Protocolo Veterinario  ·  v3.0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