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933"/>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933"/>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PROTOCOLO SUSTANCIAS CONTROLADAS</w:t>
            </w:r>
          </w:p>
          <w:p>
            <w:pPr>
              <w:spacing w:before="0"/>
              <w:jc w:val="right"/>
            </w:pPr>
            <w:r>
              <w:rPr>
                <w:rFonts w:ascii="Calibri" w:hAnsi="Calibri" w:cs="Calibri"/>
                <w:b w:val="0"/>
                <w:i/>
                <w:color w:val="556575"/>
                <w:sz w:val="18"/>
              </w:rPr>
              <w:t>SENAC / Ley Orgánica Drogas</w:t>
            </w:r>
          </w:p>
          <w:p>
            <w:pPr>
              <w:spacing w:before="0"/>
              <w:jc w:val="right"/>
            </w:pPr>
            <w:r>
              <w:rPr>
                <w:rFonts w:ascii="Calibri" w:hAnsi="Calibri" w:cs="Calibri"/>
                <w:b w:val="0"/>
                <w:i w:val="0"/>
                <w:color w:val="9098A8"/>
                <w:sz w:val="16"/>
              </w:rPr>
              <w:t>v3.0  ·  SST</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PROTOCOLO DE MANEJO DE SUSTANCIAS CONTROLADAS</w:t>
      </w:r>
    </w:p>
    <w:p>
      <w:pPr>
        <w:spacing w:before="0" w:after="200"/>
        <w:pBdr>
          <w:bottom w:val="single" w:sz="10" w:space="1" w:color="0F766E"/>
        </w:pBdr>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ÁMBITO Y MARCO LEGAL</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Regular la adquisición, almacenamiento, prescripción, dispensación, administración, descarte y reporte de sustancias controladas utilizadas en la actividad veterinaria de LA EMPRESA.</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Sustancias incluidas.  </w:t>
      </w:r>
      <w:r>
        <w:rPr>
          <w:rFonts w:ascii="Calibri" w:hAnsi="Calibri" w:cs="Calibri"/>
          <w:b w:val="0"/>
          <w:i w:val="0"/>
          <w:color w:val="111827"/>
          <w:sz w:val="20"/>
        </w:rPr>
        <w:t>Se consideran sustancias controladas: anestésicos generales (ketamina, propofol, tiopental), opioides (morfina, tramadol, fentanilo, buprenorfina, metadona), benzodiacepinas (diazepam, midazolam), agonistas alfa-2 (medetomidina, xilacina) y otros psicótropos según clasificación del SENAC y la Ley Orgánica de Drogas.</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Marco legal.  </w:t>
      </w:r>
      <w:r>
        <w:rPr>
          <w:rFonts w:ascii="Calibri" w:hAnsi="Calibri" w:cs="Calibri"/>
          <w:b w:val="0"/>
          <w:i w:val="0"/>
          <w:color w:val="111827"/>
          <w:sz w:val="20"/>
        </w:rPr>
        <w:t>Ley Orgánica de Drogas (2010), Resoluciones del SENAC (Servicio Nacional Autónomo de Sustancias Químicas, Precursoras y Estupefacientes), Convención Única de Estupefacientes de 1961, Convención de Viena de 1988, Ley de Ejercicio de la Medicina Veterinaria, Código Penal y Norma COVENIN aplicable.</w:t>
      </w:r>
    </w:p>
    <w:p>
      <w:pPr>
        <w:spacing w:before="80" w:after="60" w:line="312" w:lineRule="auto"/>
        <w:jc w:val="both"/>
      </w:pPr>
      <w:r>
        <w:rPr>
          <w:rFonts w:ascii="Calibri" w:hAnsi="Calibri" w:cs="Calibri"/>
          <w:b/>
          <w:i w:val="0"/>
          <w:color w:val="0F766E"/>
          <w:sz w:val="20"/>
        </w:rPr>
        <w:t xml:space="preserve">Art. 3b.  </w:t>
      </w:r>
      <w:r>
        <w:rPr>
          <w:rFonts w:ascii="Calibri" w:hAnsi="Calibri" w:cs="Calibri"/>
          <w:b/>
          <w:i w:val="0"/>
          <w:color w:val="111827"/>
          <w:sz w:val="20"/>
        </w:rPr>
        <w:t xml:space="preserve">Fichas técnicas de sustancias controladas.  </w:t>
      </w:r>
      <w:r>
        <w:rPr>
          <w:rFonts w:ascii="Calibri" w:hAnsi="Calibri" w:cs="Calibri"/>
          <w:b w:val="0"/>
          <w:i w:val="0"/>
          <w:color w:val="111827"/>
          <w:sz w:val="20"/>
        </w:rPr>
        <w:t>Las siguientes fichas resumen las características, indicaciones y precauciones de cada sustancia controlada utilizada en LA EMPRESA:</w:t>
      </w:r>
    </w:p>
    <w:tbl>
      <w:tblPr>
        <w:tblW w:type="auto" w:w="0"/>
        <w:jc w:val="center"/>
        <w:tblLayout w:type="fixed"/>
        <w:tblLook w:firstColumn="1" w:firstRow="1" w:lastColumn="0" w:lastRow="0" w:noHBand="0" w:noVBand="1" w:val="04A0"/>
      </w:tblPr>
      <w:tblGrid>
        <w:gridCol w:w="1701"/>
        <w:gridCol w:w="1984"/>
        <w:gridCol w:w="4252"/>
        <w:gridCol w:w="2438"/>
      </w:tblGrid>
      <w:tr>
        <w:tc>
          <w:tcPr>
            <w:tcW w:type="dxa" w:w="170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Sustancia</w:t>
            </w:r>
          </w:p>
        </w:tc>
        <w:tc>
          <w:tcPr>
            <w:tcW w:type="dxa" w:w="198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Clase / Lista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Indicación principal</w:t>
            </w:r>
          </w:p>
        </w:tc>
        <w:tc>
          <w:tcPr>
            <w:tcW w:type="dxa" w:w="243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Antagonista</w:t>
            </w:r>
          </w:p>
        </w:tc>
      </w:tr>
      <w:tr>
        <w:tc>
          <w:tcPr>
            <w:tcW w:type="dxa" w:w="170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Ketamina</w:t>
            </w:r>
          </w:p>
        </w:tc>
        <w:tc>
          <w:tcPr>
            <w:tcW w:type="dxa" w:w="198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Lista IV SENAC</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Anestésico disociativo IV/IM en perros, gatos, roedores, aves</w:t>
            </w:r>
          </w:p>
        </w:tc>
        <w:tc>
          <w:tcPr>
            <w:tcW w:type="dxa" w:w="243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No específico (sintomático)</w:t>
            </w:r>
          </w:p>
        </w:tc>
      </w:tr>
      <w:tr>
        <w:tc>
          <w:tcPr>
            <w:tcW w:type="dxa" w:w="170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Propofol</w:t>
            </w:r>
          </w:p>
        </w:tc>
        <w:tc>
          <w:tcPr>
            <w:tcW w:type="dxa" w:w="198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No controlado (vigilar)</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Inducción anestésica IV en perros y gatos</w:t>
            </w:r>
          </w:p>
        </w:tc>
        <w:tc>
          <w:tcPr>
            <w:tcW w:type="dxa" w:w="243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No específico (sintomático)</w:t>
            </w:r>
          </w:p>
        </w:tc>
      </w:tr>
      <w:tr>
        <w:tc>
          <w:tcPr>
            <w:tcW w:type="dxa" w:w="170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Tiopental sódico</w:t>
            </w:r>
          </w:p>
        </w:tc>
        <w:tc>
          <w:tcPr>
            <w:tcW w:type="dxa" w:w="198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Lista III SENAC</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Inducción anestésica IV (uso limitado)</w:t>
            </w:r>
          </w:p>
        </w:tc>
        <w:tc>
          <w:tcPr>
            <w:tcW w:type="dxa" w:w="243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No específico (sintomático)</w:t>
            </w:r>
          </w:p>
        </w:tc>
      </w:tr>
      <w:tr>
        <w:tc>
          <w:tcPr>
            <w:tcW w:type="dxa" w:w="170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Morfina</w:t>
            </w:r>
          </w:p>
        </w:tc>
        <w:tc>
          <w:tcPr>
            <w:tcW w:type="dxa" w:w="198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Lista I SENAC — OPIOIDE</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Analgesia mayor perioperatoria</w:t>
            </w:r>
          </w:p>
        </w:tc>
        <w:tc>
          <w:tcPr>
            <w:tcW w:type="dxa" w:w="243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Naloxona 0.04 mg/kg IV/IM</w:t>
            </w:r>
          </w:p>
        </w:tc>
      </w:tr>
      <w:tr>
        <w:tc>
          <w:tcPr>
            <w:tcW w:type="dxa" w:w="170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Fentanilo</w:t>
            </w:r>
          </w:p>
        </w:tc>
        <w:tc>
          <w:tcPr>
            <w:tcW w:type="dxa" w:w="198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Lista I SENAC — OPIOIDE</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Analgesia mayor, anestesia balanceada</w:t>
            </w:r>
          </w:p>
        </w:tc>
        <w:tc>
          <w:tcPr>
            <w:tcW w:type="dxa" w:w="243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Naloxona 0.04 mg/kg IV/IM</w:t>
            </w:r>
          </w:p>
        </w:tc>
      </w:tr>
      <w:tr>
        <w:tc>
          <w:tcPr>
            <w:tcW w:type="dxa" w:w="170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Metadona</w:t>
            </w:r>
          </w:p>
        </w:tc>
        <w:tc>
          <w:tcPr>
            <w:tcW w:type="dxa" w:w="198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Lista I SENAC — OPIOIDE</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Analgesia mayor, programa sustitución</w:t>
            </w:r>
          </w:p>
        </w:tc>
        <w:tc>
          <w:tcPr>
            <w:tcW w:type="dxa" w:w="243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Naloxona 0.04 mg/kg IV/IM</w:t>
            </w:r>
          </w:p>
        </w:tc>
      </w:tr>
      <w:tr>
        <w:tc>
          <w:tcPr>
            <w:tcW w:type="dxa" w:w="170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Buprenorfina</w:t>
            </w:r>
          </w:p>
        </w:tc>
        <w:tc>
          <w:tcPr>
            <w:tcW w:type="dxa" w:w="198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Lista I SENAC — OPIOIDE</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Analgesia moderada, postoperatorio</w:t>
            </w:r>
          </w:p>
        </w:tc>
        <w:tc>
          <w:tcPr>
            <w:tcW w:type="dxa" w:w="243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Naloxona (parcial), Naltrexona</w:t>
            </w:r>
          </w:p>
        </w:tc>
      </w:tr>
      <w:tr>
        <w:tc>
          <w:tcPr>
            <w:tcW w:type="dxa" w:w="170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Tramadol</w:t>
            </w:r>
          </w:p>
        </w:tc>
        <w:tc>
          <w:tcPr>
            <w:tcW w:type="dxa" w:w="198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Lista IV SENAC — OPIOIDE</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Analgesia moderada, dolor crónico</w:t>
            </w:r>
          </w:p>
        </w:tc>
        <w:tc>
          <w:tcPr>
            <w:tcW w:type="dxa" w:w="243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Naloxona (parcial)</w:t>
            </w:r>
          </w:p>
        </w:tc>
      </w:tr>
      <w:tr>
        <w:tc>
          <w:tcPr>
            <w:tcW w:type="dxa" w:w="170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Diazepam</w:t>
            </w:r>
          </w:p>
        </w:tc>
        <w:tc>
          <w:tcPr>
            <w:tcW w:type="dxa" w:w="198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Lista IV SENAC</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Sedación, anticonvulsivante, relajante muscular</w:t>
            </w:r>
          </w:p>
        </w:tc>
        <w:tc>
          <w:tcPr>
            <w:tcW w:type="dxa" w:w="243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Flumazenilo 0.02 mg/kg IV</w:t>
            </w:r>
          </w:p>
        </w:tc>
      </w:tr>
      <w:tr>
        <w:tc>
          <w:tcPr>
            <w:tcW w:type="dxa" w:w="170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Midazolam</w:t>
            </w:r>
          </w:p>
        </w:tc>
        <w:tc>
          <w:tcPr>
            <w:tcW w:type="dxa" w:w="198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Lista IV SENAC</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Sedación, premedicación, inducción</w:t>
            </w:r>
          </w:p>
        </w:tc>
        <w:tc>
          <w:tcPr>
            <w:tcW w:type="dxa" w:w="243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Flumazenilo 0.02 mg/kg IV</w:t>
            </w:r>
          </w:p>
        </w:tc>
      </w:tr>
      <w:tr>
        <w:tc>
          <w:tcPr>
            <w:tcW w:type="dxa" w:w="170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Medetomidina</w:t>
            </w:r>
          </w:p>
        </w:tc>
        <w:tc>
          <w:tcPr>
            <w:tcW w:type="dxa" w:w="198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No controlado (vigilar)</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Sedación alfa-2, premedicación</w:t>
            </w:r>
          </w:p>
        </w:tc>
        <w:tc>
          <w:tcPr>
            <w:tcW w:type="dxa" w:w="243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Atipamezol 5× dosis mg/kg IM</w:t>
            </w:r>
          </w:p>
        </w:tc>
      </w:tr>
      <w:tr>
        <w:tc>
          <w:tcPr>
            <w:tcW w:type="dxa" w:w="170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Xilacina</w:t>
            </w:r>
          </w:p>
        </w:tc>
        <w:tc>
          <w:tcPr>
            <w:tcW w:type="dxa" w:w="198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No controlado (vigilar)</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Sedación alfa-2 en equinos, rumiantes, caninos</w:t>
            </w:r>
          </w:p>
        </w:tc>
        <w:tc>
          <w:tcPr>
            <w:tcW w:type="dxa" w:w="243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Atipamezol o Yohimbina</w:t>
            </w:r>
          </w:p>
        </w:tc>
      </w:tr>
    </w:tbl>
    <w:p>
      <w:pPr>
        <w:spacing w:after="80"/>
      </w:pP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INVENTARIO Y LIBRO FOLIADO</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Libro foliado obligatorio.  </w:t>
      </w:r>
      <w:r>
        <w:rPr>
          <w:rFonts w:ascii="Calibri" w:hAnsi="Calibri" w:cs="Calibri"/>
          <w:b w:val="0"/>
          <w:i w:val="0"/>
          <w:color w:val="111827"/>
          <w:sz w:val="20"/>
        </w:rPr>
        <w:t>LA EMPRESA mantiene un libro foliado, habilitado y sellado por el SENAC, donde se registra TODO movimiento de sustancias controladas. Cada asiento contendrá:</w:t>
      </w:r>
    </w:p>
    <w:tbl>
      <w:tblPr>
        <w:tblW w:type="auto" w:w="0"/>
        <w:jc w:val="center"/>
        <w:tblLayout w:type="fixed"/>
        <w:tblLook w:firstColumn="1" w:firstRow="1" w:lastColumn="0" w:lastRow="0" w:noHBand="0" w:noVBand="1" w:val="04A0"/>
      </w:tblPr>
      <w:tblGrid>
        <w:gridCol w:w="680"/>
        <w:gridCol w:w="9128"/>
      </w:tblGrid>
      <w:tr>
        <w:tc>
          <w:tcPr>
            <w:tcW w:type="dxa" w:w="68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w:t>
            </w:r>
          </w:p>
        </w:tc>
        <w:tc>
          <w:tcPr>
            <w:tcW w:type="dxa" w:w="912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Campo a registrar</w:t>
            </w:r>
          </w:p>
        </w:tc>
      </w:tr>
      <w:tr>
        <w:tc>
          <w:tcPr>
            <w:tcW w:type="dxa" w:w="68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w:t>
            </w:r>
          </w:p>
        </w:tc>
        <w:tc>
          <w:tcPr>
            <w:tcW w:type="dxa" w:w="912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Fecha del movimiento (día, mes, año, hora)</w:t>
            </w:r>
          </w:p>
        </w:tc>
      </w:tr>
      <w:tr>
        <w:tc>
          <w:tcPr>
            <w:tcW w:type="dxa" w:w="68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2</w:t>
            </w:r>
          </w:p>
        </w:tc>
        <w:tc>
          <w:tcPr>
            <w:tcW w:type="dxa" w:w="912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Tipo de movimiento: INGRESO, DISPENSACIÓN, ADMINISTRACIÓN, DESCARTE, AJUSTE, AUDITORÍA</w:t>
            </w:r>
          </w:p>
        </w:tc>
      </w:tr>
      <w:tr>
        <w:tc>
          <w:tcPr>
            <w:tcW w:type="dxa" w:w="68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3</w:t>
            </w:r>
          </w:p>
        </w:tc>
        <w:tc>
          <w:tcPr>
            <w:tcW w:type="dxa" w:w="912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Nombre genérico y comercial del producto</w:t>
            </w:r>
          </w:p>
        </w:tc>
      </w:tr>
      <w:tr>
        <w:tc>
          <w:tcPr>
            <w:tcW w:type="dxa" w:w="68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w:t>
            </w:r>
          </w:p>
        </w:tc>
        <w:tc>
          <w:tcPr>
            <w:tcW w:type="dxa" w:w="912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Forma farmacéutica y concentración</w:t>
            </w:r>
          </w:p>
        </w:tc>
      </w:tr>
      <w:tr>
        <w:tc>
          <w:tcPr>
            <w:tcW w:type="dxa" w:w="68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w:t>
            </w:r>
          </w:p>
        </w:tc>
        <w:tc>
          <w:tcPr>
            <w:tcW w:type="dxa" w:w="912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Lote del producto</w:t>
            </w:r>
          </w:p>
        </w:tc>
      </w:tr>
      <w:tr>
        <w:tc>
          <w:tcPr>
            <w:tcW w:type="dxa" w:w="68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6</w:t>
            </w:r>
          </w:p>
        </w:tc>
        <w:tc>
          <w:tcPr>
            <w:tcW w:type="dxa" w:w="912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Fecha de vencimiento</w:t>
            </w:r>
          </w:p>
        </w:tc>
      </w:tr>
      <w:tr>
        <w:tc>
          <w:tcPr>
            <w:tcW w:type="dxa" w:w="68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7</w:t>
            </w:r>
          </w:p>
        </w:tc>
        <w:tc>
          <w:tcPr>
            <w:tcW w:type="dxa" w:w="912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Cantidad (en unidades o mL)</w:t>
            </w:r>
          </w:p>
        </w:tc>
      </w:tr>
      <w:tr>
        <w:tc>
          <w:tcPr>
            <w:tcW w:type="dxa" w:w="68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w:t>
            </w:r>
          </w:p>
        </w:tc>
        <w:tc>
          <w:tcPr>
            <w:tcW w:type="dxa" w:w="912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Saldo anterior / Saldo nuevo</w:t>
            </w:r>
          </w:p>
        </w:tc>
      </w:tr>
      <w:tr>
        <w:tc>
          <w:tcPr>
            <w:tcW w:type="dxa" w:w="68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9</w:t>
            </w:r>
          </w:p>
        </w:tc>
        <w:tc>
          <w:tcPr>
            <w:tcW w:type="dxa" w:w="912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Nombre del paciente (especie, raza, nombre)</w:t>
            </w:r>
          </w:p>
        </w:tc>
      </w:tr>
      <w:tr>
        <w:tc>
          <w:tcPr>
            <w:tcW w:type="dxa" w:w="68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10</w:t>
            </w:r>
          </w:p>
        </w:tc>
        <w:tc>
          <w:tcPr>
            <w:tcW w:type="dxa" w:w="912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Nombre del propietario y C.I.</w:t>
            </w:r>
          </w:p>
        </w:tc>
      </w:tr>
      <w:tr>
        <w:tc>
          <w:tcPr>
            <w:tcW w:type="dxa" w:w="68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11</w:t>
            </w:r>
          </w:p>
        </w:tc>
        <w:tc>
          <w:tcPr>
            <w:tcW w:type="dxa" w:w="912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Médico veterinario responsable y C.M.V.V.</w:t>
            </w:r>
          </w:p>
        </w:tc>
      </w:tr>
      <w:tr>
        <w:tc>
          <w:tcPr>
            <w:tcW w:type="dxa" w:w="68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12</w:t>
            </w:r>
          </w:p>
        </w:tc>
        <w:tc>
          <w:tcPr>
            <w:tcW w:type="dxa" w:w="912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Firma del profesional y firma de quien recibe/descarta</w:t>
            </w:r>
          </w:p>
        </w:tc>
      </w:tr>
    </w:tbl>
    <w:p>
      <w:pPr>
        <w:spacing w:after="80"/>
      </w:pP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Conciliación.  </w:t>
      </w:r>
      <w:r>
        <w:rPr>
          <w:rFonts w:ascii="Calibri" w:hAnsi="Calibri" w:cs="Calibri"/>
          <w:b w:val="0"/>
          <w:i w:val="0"/>
          <w:color w:val="111827"/>
          <w:sz w:val="20"/>
        </w:rPr>
        <w:t>El libro foliado se concilia mensualmente con el inventario físico. Cualquier discrepancia se investiga y documenta en acta firmada por el responsable.</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ALMACENAMIENTO Y DOBLE CERRADURA</w:t>
      </w:r>
    </w:p>
    <w:tbl>
      <w:tblPr>
        <w:tblW w:type="auto" w:w="0"/>
        <w:jc w:val="center"/>
        <w:tblLayout w:type="fixed"/>
        <w:tblLook w:firstColumn="1" w:firstRow="1" w:lastColumn="0" w:lastRow="0" w:noHBand="0" w:noVBand="1" w:val="04A0"/>
      </w:tblPr>
      <w:tblGrid>
        <w:gridCol w:w="9865"/>
      </w:tblGrid>
      <w:tr>
        <w:tc>
          <w:tcPr>
            <w:tcW w:type="dxa" w:w="9865"/>
            <w:shd w:val="clear" w:color="auto" w:fill="FEF3C7"/>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line="300" w:lineRule="auto"/>
              <w:jc w:val="both"/>
            </w:pPr>
            <w:r/>
            <w:r>
              <w:rPr>
                <w:rFonts w:ascii="Calibri" w:hAnsi="Calibri"/>
                <w:b/>
                <w:i w:val="0"/>
                <w:color w:val="B91C1C"/>
                <w:sz w:val="18"/>
              </w:rPr>
              <w:t>MEDIDA DE SEGURIDAD OBLIGATORIA — DOBLE CERRADURA PARA OPIOIDES</w:t>
            </w:r>
            <w:r>
              <w:br/>
            </w:r>
            <w:r>
              <w:rPr>
                <w:rFonts w:ascii="Calibri" w:hAnsi="Calibri"/>
                <w:b w:val="0"/>
                <w:i w:val="0"/>
                <w:color w:val="111827"/>
                <w:sz w:val="18"/>
              </w:rPr>
              <w:t>Los opioides (morfina, fentanilo, metadona, buprenorfina) y otras sustancias de mayor riesgo de abuso se almacenan en caja fuerte o gabinete de seguridad con DOS (2) cerraduras independientes. Las llaves se custodian por separado: una con el médico veterinario de turno y otra con la Dirección. El acceso requiere presencia simultánea de dos personas autorizadas y registro en libro foliado.</w:t>
            </w:r>
          </w:p>
        </w:tc>
      </w:tr>
    </w:tbl>
    <w:p>
      <w:pPr>
        <w:spacing w:after="80"/>
      </w:pP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Características del almacén.  </w:t>
      </w:r>
      <w:r>
        <w:rPr>
          <w:rFonts w:ascii="Calibri" w:hAnsi="Calibri" w:cs="Calibri"/>
          <w:b w:val="0"/>
          <w:i w:val="0"/>
          <w:color w:val="111827"/>
          <w:sz w:val="20"/>
        </w:rPr>
        <w:t>El área de almacenamiento cumple con: ventilación, temperatura controlada (15-25°C), protección contra luz directa, separación de sustancias incompatibles, señalética de seguridad, extintor ABC, acceso restringido con registro de entradas.</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Inventario mínimo y máximo.  </w:t>
      </w:r>
      <w:r>
        <w:rPr>
          <w:rFonts w:ascii="Calibri" w:hAnsi="Calibri" w:cs="Calibri"/>
          <w:b w:val="0"/>
          <w:i w:val="0"/>
          <w:color w:val="111827"/>
          <w:sz w:val="20"/>
        </w:rPr>
        <w:t>Se maneja inventario mínimo de una (1) semana de consumo promedio y máximo de un (1) mes. La adquisición se realiza con proveedor autorizado por el SENAC, con factura y guía de remisión que se conservan por cinco (5) años.</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CADENA DE CUSTODIA — 5 ETAPAS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Etapas.  </w:t>
      </w:r>
      <w:r>
        <w:rPr>
          <w:rFonts w:ascii="Calibri" w:hAnsi="Calibri" w:cs="Calibri"/>
          <w:b w:val="0"/>
          <w:i w:val="0"/>
          <w:color w:val="111827"/>
          <w:sz w:val="20"/>
        </w:rPr>
        <w:t>La cadena de custodia es el registro ininterrumpido de todos los movimientos de una sustancia controlada desde su adquisición hasta su administración o descarte. Las cinco etapas son:</w:t>
      </w:r>
    </w:p>
    <w:tbl>
      <w:tblPr>
        <w:tblW w:type="auto" w:w="0"/>
        <w:jc w:val="center"/>
        <w:tblLayout w:type="fixed"/>
        <w:tblLook w:firstColumn="1" w:firstRow="1" w:lastColumn="0" w:lastRow="0" w:noHBand="0" w:noVBand="1" w:val="04A0"/>
      </w:tblPr>
      <w:tblGrid>
        <w:gridCol w:w="454"/>
        <w:gridCol w:w="2381"/>
        <w:gridCol w:w="2381"/>
        <w:gridCol w:w="4592"/>
      </w:tblGrid>
      <w:tr>
        <w:tc>
          <w:tcPr>
            <w:tcW w:type="dxa" w:w="45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w:t>
            </w:r>
          </w:p>
        </w:tc>
        <w:tc>
          <w:tcPr>
            <w:tcW w:type="dxa" w:w="238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Etapa</w:t>
            </w:r>
          </w:p>
        </w:tc>
        <w:tc>
          <w:tcPr>
            <w:tcW w:type="dxa" w:w="238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Responsable</w:t>
            </w:r>
          </w:p>
        </w:tc>
        <w:tc>
          <w:tcPr>
            <w:tcW w:type="dxa" w:w="459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Documento</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w:t>
            </w:r>
          </w:p>
        </w:tc>
        <w:tc>
          <w:tcPr>
            <w:tcW w:type="dxa" w:w="238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Adquisición</w:t>
            </w:r>
          </w:p>
        </w:tc>
        <w:tc>
          <w:tcPr>
            <w:tcW w:type="dxa" w:w="238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Directora Gerente + MV</w:t>
            </w:r>
          </w:p>
        </w:tc>
        <w:tc>
          <w:tcPr>
            <w:tcW w:type="dxa" w:w="459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Orden de compra, factura, guía remisión</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2</w:t>
            </w:r>
          </w:p>
        </w:tc>
        <w:tc>
          <w:tcPr>
            <w:tcW w:type="dxa" w:w="238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Recepción y verificación</w:t>
            </w:r>
          </w:p>
        </w:tc>
        <w:tc>
          <w:tcPr>
            <w:tcW w:type="dxa" w:w="238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Médico Veterinario encargado</w:t>
            </w:r>
          </w:p>
        </w:tc>
        <w:tc>
          <w:tcPr>
            <w:tcW w:type="dxa" w:w="459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de recepción, registro libro foliado</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3</w:t>
            </w:r>
          </w:p>
        </w:tc>
        <w:tc>
          <w:tcPr>
            <w:tcW w:type="dxa" w:w="238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Almacenamiento</w:t>
            </w:r>
          </w:p>
        </w:tc>
        <w:tc>
          <w:tcPr>
            <w:tcW w:type="dxa" w:w="238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Médico Veterinario + Director</w:t>
            </w:r>
          </w:p>
        </w:tc>
        <w:tc>
          <w:tcPr>
            <w:tcW w:type="dxa" w:w="459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Inventario, libro foliado (INGRESO)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w:t>
            </w:r>
          </w:p>
        </w:tc>
        <w:tc>
          <w:tcPr>
            <w:tcW w:type="dxa" w:w="238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Prescripción y dispensación</w:t>
            </w:r>
          </w:p>
        </w:tc>
        <w:tc>
          <w:tcPr>
            <w:tcW w:type="dxa" w:w="238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Médico Veterinario tratante</w:t>
            </w:r>
          </w:p>
        </w:tc>
        <w:tc>
          <w:tcPr>
            <w:tcW w:type="dxa" w:w="459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Receta médica, fórmula magistral, libro foliado (DISPENSACIÓN)</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w:t>
            </w:r>
          </w:p>
        </w:tc>
        <w:tc>
          <w:tcPr>
            <w:tcW w:type="dxa" w:w="238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Administración o descarte</w:t>
            </w:r>
          </w:p>
        </w:tc>
        <w:tc>
          <w:tcPr>
            <w:tcW w:type="dxa" w:w="238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MV + Auxiliar (doble chequeo)</w:t>
            </w:r>
          </w:p>
        </w:tc>
        <w:tc>
          <w:tcPr>
            <w:tcW w:type="dxa" w:w="459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Registro clínico, libro foliado (ADMIN/DESCARTE), acta de descarte</w:t>
            </w:r>
          </w:p>
        </w:tc>
      </w:tr>
    </w:tbl>
    <w:p>
      <w:pPr>
        <w:spacing w:after="80"/>
      </w:pP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Doble chequeo de opioides.  </w:t>
      </w:r>
      <w:r>
        <w:rPr>
          <w:rFonts w:ascii="Calibri" w:hAnsi="Calibri" w:cs="Calibri"/>
          <w:b w:val="0"/>
          <w:i w:val="0"/>
          <w:color w:val="111827"/>
          <w:sz w:val="20"/>
        </w:rPr>
        <w:t>La administración de opioides requiere DOBLE CHEQUEO por dos profesionales: el médico veterinario que prescribe y otro profesional que verifica dosis, vía y paciente. Ambos firman el registro clínico y el libro foliado.</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PRESCRIPCIÓN Y ADMINISTRACIÓN</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Receta médica.  </w:t>
      </w:r>
      <w:r>
        <w:rPr>
          <w:rFonts w:ascii="Calibri" w:hAnsi="Calibri" w:cs="Calibri"/>
          <w:b w:val="0"/>
          <w:i w:val="0"/>
          <w:color w:val="111827"/>
          <w:sz w:val="20"/>
        </w:rPr>
        <w:t>La receta de sustancias controladas debe contener: fecha, datos del MV (nombre, C.I., C.M.V.V., firma y sello), datos del propietario y del paciente, nombre del producto (genérico), concentración, dosis, vía, frecuencia, duración y cantidad dispensada. La receta se conserva por cinco (5) años.</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Restricciones.  </w:t>
      </w:r>
      <w:r>
        <w:rPr>
          <w:rFonts w:ascii="Calibri" w:hAnsi="Calibri" w:cs="Calibri"/>
          <w:b w:val="0"/>
          <w:i w:val="0"/>
          <w:color w:val="111827"/>
          <w:sz w:val="20"/>
        </w:rPr>
        <w:t>Se prohíbe: prescribir sustancias controladas sin fundamento clínico documentado, auto-prescripción, dispensación a personal no autorizado, fraccionamiento no justificado, y uso veterinario de productos no registrados ante el SENAC.</w:t>
      </w:r>
    </w:p>
    <w:p>
      <w:pPr>
        <w:spacing w:before="80" w:after="60" w:line="312" w:lineRule="auto"/>
        <w:jc w:val="both"/>
      </w:pPr>
      <w:r>
        <w:rPr>
          <w:rFonts w:ascii="Calibri" w:hAnsi="Calibri" w:cs="Calibri"/>
          <w:b/>
          <w:i w:val="0"/>
          <w:color w:val="0F766E"/>
          <w:sz w:val="20"/>
        </w:rPr>
        <w:t xml:space="preserve">Art. 11b.  </w:t>
      </w:r>
      <w:r>
        <w:rPr>
          <w:rFonts w:ascii="Calibri" w:hAnsi="Calibri" w:cs="Calibri"/>
          <w:b/>
          <w:i w:val="0"/>
          <w:color w:val="111827"/>
          <w:sz w:val="20"/>
        </w:rPr>
        <w:t xml:space="preserve">Doble chequeo obligatorio.  </w:t>
      </w:r>
      <w:r>
        <w:rPr>
          <w:rFonts w:ascii="Calibri" w:hAnsi="Calibri" w:cs="Calibri"/>
          <w:b w:val="0"/>
          <w:i w:val="0"/>
          <w:color w:val="111827"/>
          <w:sz w:val="20"/>
        </w:rPr>
        <w:t>La administración de opioides y anestésicos generales requiere doble chequeo por DOS (2) profesionales calificados: el médico veterinario que prescribe y otro profesional que verifica en voz alta: (i) nombre del paciente, (ii) nombre del producto, (iii) concentración, (iv) dosis calculada, (v) vía de administración, y (vi) hora de administración. Ambos firman el registro clínico y el libro foliado. Solo en caso de guardia nocturna con un único profesional, el doble chequeo puede ser sustituido por verificación con checklist firmado, informando a la Dirección en el siguiente día hábil.</w:t>
      </w:r>
    </w:p>
    <w:p>
      <w:pPr>
        <w:spacing w:before="80" w:after="60" w:line="312" w:lineRule="auto"/>
        <w:jc w:val="both"/>
      </w:pPr>
      <w:r>
        <w:rPr>
          <w:rFonts w:ascii="Calibri" w:hAnsi="Calibri" w:cs="Calibri"/>
          <w:b/>
          <w:i w:val="0"/>
          <w:color w:val="0F766E"/>
          <w:sz w:val="20"/>
        </w:rPr>
        <w:t xml:space="preserve">Art. 11c.  </w:t>
      </w:r>
      <w:r>
        <w:rPr>
          <w:rFonts w:ascii="Calibri" w:hAnsi="Calibri" w:cs="Calibri"/>
          <w:b/>
          <w:i w:val="0"/>
          <w:color w:val="111827"/>
          <w:sz w:val="20"/>
        </w:rPr>
        <w:t xml:space="preserve">Manejo de sobredosis accidental.  </w:t>
      </w:r>
      <w:r>
        <w:rPr>
          <w:rFonts w:ascii="Calibri" w:hAnsi="Calibri" w:cs="Calibri"/>
          <w:b w:val="0"/>
          <w:i w:val="0"/>
          <w:color w:val="111827"/>
          <w:sz w:val="20"/>
        </w:rPr>
        <w:t>En caso de sobredosis accidental de sustancias controladas en el paciente animal, se aplican las siguientes acciones inmediatas:</w:t>
      </w:r>
    </w:p>
    <w:tbl>
      <w:tblPr>
        <w:tblW w:type="auto" w:w="0"/>
        <w:jc w:val="center"/>
        <w:tblLayout w:type="fixed"/>
        <w:tblLook w:firstColumn="1" w:firstRow="1" w:lastColumn="0" w:lastRow="0" w:noHBand="0" w:noVBand="1" w:val="04A0"/>
      </w:tblPr>
      <w:tblGrid>
        <w:gridCol w:w="2268"/>
        <w:gridCol w:w="3118"/>
        <w:gridCol w:w="4706"/>
      </w:tblGrid>
      <w:tr>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Sustancia</w:t>
            </w:r>
          </w:p>
        </w:tc>
        <w:tc>
          <w:tcPr>
            <w:tcW w:type="dxa" w:w="311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Signos en el paciente</w:t>
            </w:r>
          </w:p>
        </w:tc>
        <w:tc>
          <w:tcPr>
            <w:tcW w:type="dxa" w:w="4706"/>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Antagonista / Acción</w:t>
            </w:r>
          </w:p>
        </w:tc>
      </w:tr>
      <w:tr>
        <w:tc>
          <w:tcPr>
            <w:tcW w:type="dxa" w:w="226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Morfina, Fentanilo, Metadona, Tramadol, Buprenorfina</w:t>
            </w:r>
          </w:p>
        </w:tc>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Depresión respiratoria, miosis, bradicardia, sedación profunda</w:t>
            </w:r>
          </w:p>
        </w:tc>
        <w:tc>
          <w:tcPr>
            <w:tcW w:type="dxa" w:w="4706"/>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Naloxona 0.04 mg/kg IV/IM (repetir cada 15 min). Oxígeno suplementario. Ventilación asistida.</w:t>
            </w:r>
          </w:p>
        </w:tc>
      </w:tr>
      <w:tr>
        <w:tc>
          <w:tcPr>
            <w:tcW w:type="dxa" w:w="226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Ketamina</w:t>
            </w:r>
          </w:p>
        </w:tc>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Salivación, espasmos musculares, convulsiones, taquicardia</w:t>
            </w:r>
          </w:p>
        </w:tc>
        <w:tc>
          <w:tcPr>
            <w:tcW w:type="dxa" w:w="4706"/>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Diazepam 0.5 mg/kg IV. Soporte cardiovascular. Líquidos IV.</w:t>
            </w:r>
          </w:p>
        </w:tc>
      </w:tr>
      <w:tr>
        <w:tc>
          <w:tcPr>
            <w:tcW w:type="dxa" w:w="226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Propofol</w:t>
            </w:r>
          </w:p>
        </w:tc>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Apnea, hipotensión, cianosis</w:t>
            </w:r>
          </w:p>
        </w:tc>
        <w:tc>
          <w:tcPr>
            <w:tcW w:type="dxa" w:w="4706"/>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Oxígeno y ventilación asistida. Detener administración. Soporte cardiovascular.</w:t>
            </w:r>
          </w:p>
        </w:tc>
      </w:tr>
      <w:tr>
        <w:tc>
          <w:tcPr>
            <w:tcW w:type="dxa" w:w="226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Diazepam, Midazolam</w:t>
            </w:r>
          </w:p>
        </w:tc>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Sedación profunda, ataxia, depresión respiratoria leve</w:t>
            </w:r>
          </w:p>
        </w:tc>
        <w:tc>
          <w:tcPr>
            <w:tcW w:type="dxa" w:w="4706"/>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Flumazenilo 0.02 mg/kg IV (uso hospitalario). Soporte respiratorio.</w:t>
            </w:r>
          </w:p>
        </w:tc>
      </w:tr>
      <w:tr>
        <w:tc>
          <w:tcPr>
            <w:tcW w:type="dxa" w:w="226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6"/>
              </w:rPr>
              <w:t>Medetomidina, Xilacina</w:t>
            </w:r>
          </w:p>
        </w:tc>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Bradicardia severa, hipotensión, hipotermia, sedación profunda</w:t>
            </w:r>
          </w:p>
        </w:tc>
        <w:tc>
          <w:tcPr>
            <w:tcW w:type="dxa" w:w="4706"/>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Atipamezol 5× la dosis de medetomidina IM. Anticolinérgicos solo si bradicardia severa.</w:t>
            </w:r>
          </w:p>
        </w:tc>
      </w:tr>
    </w:tbl>
    <w:p>
      <w:pPr>
        <w:spacing w:after="80"/>
      </w:pPr>
    </w:p>
    <w:p>
      <w:pPr>
        <w:spacing w:before="40" w:after="80" w:line="312" w:lineRule="auto"/>
        <w:jc w:val="both"/>
      </w:pPr>
      <w:r>
        <w:rPr>
          <w:rFonts w:ascii="Calibri" w:hAnsi="Calibri" w:cs="Calibri"/>
          <w:b w:val="0"/>
          <w:i/>
          <w:color w:val="B91C1C"/>
          <w:sz w:val="18"/>
        </w:rPr>
        <w:t>IMPORTANTE: Todo evento de sobredosis accidental debe registrarse en la historia clínica, notificarse a la Directora Gerente y, si cause daño al paciente o al personal, se completa el Formulario de Reporte de Incidente conforme al Procedimiento de Reporte de Incidentes (Capítulo III).</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DESCARTE Y ELIMINACIÓN</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Procedimiento de descarte.  </w:t>
      </w:r>
      <w:r>
        <w:rPr>
          <w:rFonts w:ascii="Calibri" w:hAnsi="Calibri" w:cs="Calibri"/>
          <w:b w:val="0"/>
          <w:i w:val="0"/>
          <w:color w:val="111827"/>
          <w:sz w:val="20"/>
        </w:rPr>
        <w:t>El descarte de sobrantes, productos vencidos o recetas no retiradas se realiza mediante: (i) acta de descarte firmada por dos testigos, (ii) registro en libro foliado, (iii) neutralización química o incineración por empresa certificada. Se prohíbe el descarte por alcantarillado o basura común.</w:t>
      </w:r>
    </w:p>
    <w:p>
      <w:pPr>
        <w:spacing w:before="80" w:after="60" w:line="312" w:lineRule="auto"/>
        <w:jc w:val="both"/>
      </w:pPr>
      <w:r>
        <w:rPr>
          <w:rFonts w:ascii="Calibri" w:hAnsi="Calibri" w:cs="Calibri"/>
          <w:b/>
          <w:i w:val="0"/>
          <w:color w:val="0F766E"/>
          <w:sz w:val="20"/>
        </w:rPr>
        <w:t xml:space="preserve">Art. 12b.  </w:t>
      </w:r>
      <w:r>
        <w:rPr>
          <w:rFonts w:ascii="Calibri" w:hAnsi="Calibri" w:cs="Calibri"/>
          <w:b/>
          <w:i w:val="0"/>
          <w:color w:val="111827"/>
          <w:sz w:val="20"/>
        </w:rPr>
        <w:t xml:space="preserve">Casos frecuentes de descarte.  </w:t>
      </w:r>
      <w:r>
        <w:rPr>
          <w:rFonts w:ascii="Calibri" w:hAnsi="Calibri" w:cs="Calibri"/>
          <w:b w:val="0"/>
          <w:i w:val="0"/>
          <w:color w:val="111827"/>
          <w:sz w:val="20"/>
        </w:rPr>
        <w:t>Se consideran sujetos a descarte: ampolletas sobrantes no utilizadas en 24 horas, frascos de opioides vencidos, jeringas con restos visibles de anestésico, restos de infusión de fentanilo en bolsas de suero, productos dañados por exposición térmica, y recetas no retiradas por el cliente después de 30 días. En todos los casos el acta de descarte incluye: fecha, producto, lote, cantidad, causa del descarte, método de destrucción, y firmas del MV responsable, de un testigo y de la Directora Gerente.</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REPORTES AL SENAC Y AUDITORÍA INTERNA</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Reporte trimestral.  </w:t>
      </w:r>
      <w:r>
        <w:rPr>
          <w:rFonts w:ascii="Calibri" w:hAnsi="Calibri" w:cs="Calibri"/>
          <w:b w:val="0"/>
          <w:i w:val="0"/>
          <w:color w:val="111827"/>
          <w:sz w:val="20"/>
        </w:rPr>
        <w:t>LA EMPRESA presenta al SENAC el informe trimestral de movimientos de sustancias controladas, conforme a la normativa vigente. El reporte lo elabora el médico veterinario responsable y lo firma la Directora Gerente.</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Pérdida o robo.  </w:t>
      </w:r>
      <w:r>
        <w:rPr>
          <w:rFonts w:ascii="Calibri" w:hAnsi="Calibri" w:cs="Calibri"/>
          <w:b w:val="0"/>
          <w:i w:val="0"/>
          <w:color w:val="111827"/>
          <w:sz w:val="20"/>
        </w:rPr>
        <w:t>En caso de pérdida, robo o sustracción de sustancias controladas, se debe: (i) denunciar ante el CICPC en un máximo de 24 horas, (ii) notificar al SENAC en 24 horas, (iii) realizar investigación interna, (iv) registrar acta en libro foliado.</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Auditoría interna mensual.  </w:t>
      </w:r>
      <w:r>
        <w:rPr>
          <w:rFonts w:ascii="Calibri" w:hAnsi="Calibri" w:cs="Calibri"/>
          <w:b w:val="0"/>
          <w:i w:val="0"/>
          <w:color w:val="111827"/>
          <w:sz w:val="20"/>
        </w:rPr>
        <w:t>Mensualmente se realiza auditoría física del inventario, conciliación con libro foliado, verificación de fechas de vencimiento y revisión de actas de descarte. El acta de auditoría la firman el MV responsable y la Directora Gerente.</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SANCIONES</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Régimen sancionatorio.  </w:t>
      </w:r>
      <w:r>
        <w:rPr>
          <w:rFonts w:ascii="Calibri" w:hAnsi="Calibri" w:cs="Calibri"/>
          <w:b w:val="0"/>
          <w:i w:val="0"/>
          <w:color w:val="111827"/>
          <w:sz w:val="20"/>
        </w:rPr>
        <w:t>El incumplimiento del presente Protocolo se sanciona conforme al Reglamento Interno de Trabajo y a la legislación aplicable:</w:t>
      </w:r>
    </w:p>
    <w:tbl>
      <w:tblPr>
        <w:tblW w:type="auto" w:w="0"/>
        <w:jc w:val="center"/>
        <w:tblLayout w:type="fixed"/>
        <w:tblLook w:firstColumn="1" w:firstRow="1" w:lastColumn="0" w:lastRow="0" w:noHBand="0" w:noVBand="1" w:val="04A0"/>
      </w:tblPr>
      <w:tblGrid>
        <w:gridCol w:w="3685"/>
        <w:gridCol w:w="1417"/>
        <w:gridCol w:w="4309"/>
      </w:tblGrid>
      <w:tr>
        <w:tc>
          <w:tcPr>
            <w:tcW w:type="dxa" w:w="368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Falta</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Sanción</w:t>
            </w:r>
          </w:p>
        </w:tc>
      </w:tr>
      <w:tr>
        <w:tc>
          <w:tcPr>
            <w:tcW w:type="dxa" w:w="368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Olvido de registro en libro foliado</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047857"/>
                <w:sz w:val="18"/>
              </w:rPr>
              <w:t>Amonestación verbal</w:t>
            </w:r>
          </w:p>
        </w:tc>
      </w:tr>
      <w:tr>
        <w:tc>
          <w:tcPr>
            <w:tcW w:type="dxa" w:w="368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Error en dosis sin daño al paciente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 + reentrenamiento</w:t>
            </w:r>
          </w:p>
        </w:tc>
      </w:tr>
      <w:tr>
        <w:tc>
          <w:tcPr>
            <w:tcW w:type="dxa" w:w="368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Acceso no autorizado al almacén</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 + investigación</w:t>
            </w:r>
          </w:p>
        </w:tc>
      </w:tr>
      <w:tr>
        <w:tc>
          <w:tcPr>
            <w:tcW w:type="dxa" w:w="368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Sustraer sustancia controlada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 + denuncia CICPC</w:t>
            </w:r>
          </w:p>
        </w:tc>
      </w:tr>
      <w:tr>
        <w:tc>
          <w:tcPr>
            <w:tcW w:type="dxa" w:w="368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Auto-administración o desvío</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 + denuncia penal</w:t>
            </w:r>
          </w:p>
        </w:tc>
      </w:tr>
      <w:tr>
        <w:tc>
          <w:tcPr>
            <w:tcW w:type="dxa" w:w="368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Falsificar registro o receta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 + denuncia penal</w:t>
            </w:r>
          </w:p>
        </w:tc>
      </w:tr>
    </w:tbl>
    <w:p>
      <w:pPr>
        <w:spacing w:after="80"/>
      </w:pP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CAPACITACIÓN DEL PERSONAL</w:t>
      </w:r>
    </w:p>
    <w:p>
      <w:pPr>
        <w:spacing w:before="80" w:after="60" w:line="312" w:lineRule="auto"/>
        <w:jc w:val="both"/>
      </w:pPr>
      <w:r>
        <w:rPr>
          <w:rFonts w:ascii="Calibri" w:hAnsi="Calibri" w:cs="Calibri"/>
          <w:b/>
          <w:i w:val="0"/>
          <w:color w:val="0F766E"/>
          <w:sz w:val="20"/>
        </w:rPr>
        <w:t xml:space="preserve">Art. 16b.  </w:t>
      </w:r>
      <w:r>
        <w:rPr>
          <w:rFonts w:ascii="Calibri" w:hAnsi="Calibri" w:cs="Calibri"/>
          <w:b/>
          <w:i w:val="0"/>
          <w:color w:val="111827"/>
          <w:sz w:val="20"/>
        </w:rPr>
        <w:t xml:space="preserve">Programa de capacitación.  </w:t>
      </w:r>
      <w:r>
        <w:rPr>
          <w:rFonts w:ascii="Calibri" w:hAnsi="Calibri" w:cs="Calibri"/>
          <w:b w:val="0"/>
          <w:i w:val="0"/>
          <w:color w:val="111827"/>
          <w:sz w:val="20"/>
        </w:rPr>
        <w:t>Todo el personal con acceso a sustancias controladas recibirá capacitación obligatoria sobre el presente Protocolo, con una duración mínima de cuatro (4) horas al ingreso y refrescos anuales de dos (2) horas. La capacitación cubre: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Marco legal: Ley Orgánica de Drogas, Resoluciones SENAC, Convenciones internacionales.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Clasificación de sustancias controladas y Listas del SENAC.</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Manejo del libro foliado: cómo y cuándo registrar movimientos.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Almacenamiento con doble cerradura y control de llaves.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Cadena de custodia de 5 etapas: responsabilidades por actor.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Doble chequeo de opioides y anestésicos: protocolo verbal.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Manejo de sobredosis accidental y antagonistas disponibles.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Procedimiento de descarte y acta de destrucción.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Reporte al SENAC: plazos y formularios.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Actuación ante pérdida, robo o sustracción.</w:t>
      </w:r>
    </w:p>
    <w:p>
      <w:pPr>
        <w:spacing w:before="80" w:after="60" w:line="312" w:lineRule="auto"/>
        <w:jc w:val="both"/>
      </w:pPr>
      <w:r>
        <w:rPr>
          <w:rFonts w:ascii="Calibri" w:hAnsi="Calibri" w:cs="Calibri"/>
          <w:b/>
          <w:i w:val="0"/>
          <w:color w:val="0F766E"/>
          <w:sz w:val="20"/>
        </w:rPr>
        <w:t xml:space="preserve">Art. 16c.  </w:t>
      </w:r>
      <w:r>
        <w:rPr>
          <w:rFonts w:ascii="Calibri" w:hAnsi="Calibri" w:cs="Calibri"/>
          <w:b/>
          <w:i w:val="0"/>
          <w:color w:val="111827"/>
          <w:sz w:val="20"/>
        </w:rPr>
        <w:t xml:space="preserve">Evaluación y constancia.  </w:t>
      </w:r>
      <w:r>
        <w:rPr>
          <w:rFonts w:ascii="Calibri" w:hAnsi="Calibri" w:cs="Calibri"/>
          <w:b w:val="0"/>
          <w:i w:val="0"/>
          <w:color w:val="111827"/>
          <w:sz w:val="20"/>
        </w:rPr>
        <w:t>Al finalizar la capacitación, el personal completa una evaluación escrita con diez (10) preguntas; se requiere una puntuación mínima de ochenta por ciento (80%) para considerar aprobada. La constancia de capacitación se archiva en el expediente del trabajador(a) por cinco (5) años.</w:t>
      </w:r>
    </w:p>
    <w:p>
      <w:pPr>
        <w:spacing w:before="80" w:after="60" w:line="312" w:lineRule="auto"/>
        <w:jc w:val="both"/>
      </w:pPr>
      <w:r>
        <w:rPr>
          <w:rFonts w:ascii="Calibri" w:hAnsi="Calibri" w:cs="Calibri"/>
          <w:b/>
          <w:i w:val="0"/>
          <w:color w:val="0F766E"/>
          <w:sz w:val="20"/>
        </w:rPr>
        <w:t xml:space="preserve">Art. 16d.  </w:t>
      </w:r>
      <w:r>
        <w:rPr>
          <w:rFonts w:ascii="Calibri" w:hAnsi="Calibri" w:cs="Calibri"/>
          <w:b/>
          <w:i w:val="0"/>
          <w:color w:val="111827"/>
          <w:sz w:val="20"/>
        </w:rPr>
        <w:t xml:space="preserve">Inducción a nuevo personal.  </w:t>
      </w:r>
      <w:r>
        <w:rPr>
          <w:rFonts w:ascii="Calibri" w:hAnsi="Calibri" w:cs="Calibri"/>
          <w:b w:val="0"/>
          <w:i w:val="0"/>
          <w:color w:val="111827"/>
          <w:sz w:val="20"/>
        </w:rPr>
        <w:t>El nuevo personal que tenga acceso a sustancias controladas recibe una inducción específica de dos (2) horas el primer día de trabajo, antes de cualquier manipulación. La inducción es responsabilidad del MV encargado y queda documentada en el Formato de Inducción SST.</w:t>
      </w:r>
    </w:p>
    <w:p>
      <w:pPr>
        <w:keepNext/>
        <w:spacing w:before="120" w:after="40"/>
        <w:jc w:val="left"/>
      </w:pPr>
      <w:r>
        <w:rPr>
          <w:rFonts w:ascii="Calibri" w:hAnsi="Calibri" w:cs="Calibri"/>
          <w:b/>
          <w:i w:val="0"/>
          <w:color w:val="0F766E"/>
          <w:sz w:val="22"/>
        </w:rPr>
        <w:t>ANEXO A — FORMULARIO DE DISPENSACIÓN DE SUSTANCIAS CONTROLADAS</w:t>
      </w:r>
    </w:p>
    <w:p>
      <w:pPr>
        <w:spacing w:before="0" w:after="80" w:line="312" w:lineRule="auto"/>
        <w:jc w:val="both"/>
      </w:pPr>
      <w:r>
        <w:rPr>
          <w:rFonts w:ascii="Calibri" w:hAnsi="Calibri" w:cs="Calibri"/>
          <w:b w:val="0"/>
          <w:i/>
          <w:sz w:val="18"/>
        </w:rPr>
        <w:t>Este formulario se completa por triplicado (copia clínica, copia libro foliado, copia SENAC).</w:t>
      </w:r>
    </w:p>
    <w:tbl>
      <w:tblPr>
        <w:tblW w:type="auto" w:w="0"/>
        <w:jc w:val="center"/>
        <w:tblLayout w:type="fixed"/>
        <w:tblLook w:firstColumn="1" w:firstRow="1" w:lastColumn="0" w:lastRow="0" w:noHBand="0" w:noVBand="1" w:val="04A0"/>
      </w:tblPr>
      <w:tblGrid>
        <w:gridCol w:w="2835"/>
        <w:gridCol w:w="6973"/>
      </w:tblGrid>
      <w:tr>
        <w:tc>
          <w:tcPr>
            <w:tcW w:type="dxa" w:w="283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Campo</w:t>
            </w:r>
          </w:p>
        </w:tc>
        <w:tc>
          <w:tcPr>
            <w:tcW w:type="dxa" w:w="6973"/>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Información</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Fecha y hora</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 / ____ / ______  ·  ____:____</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Producto (genérico y comercial)</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Concentración / forma farmacéutica</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Lote</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  ·  Vence: ____ / ____ / ______</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Cantidad dispensada (unidades/mL)</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Saldo anterior</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  ·  Saldo nuevo: ____________</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Paciente (especie, raza, nombre)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Propietario / C.I.</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Médico Veterinario / C.M.V.V.</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Firma MV</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Firma Auxiliar (doble chequeo)</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bl>
    <w:p>
      <w:pPr>
        <w:spacing w:after="80"/>
      </w:pP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«Protocolo de Manejo de Sustancias Controladas»,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Protocolo Veterinario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