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PROGRAMA DE SEGURIDAD Y SALUD EN EL TRABAJO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 · Panadería y pastelería</w:t>
      </w:r>
    </w:p>
    <w:p>
      <w:pPr>
        <w:spacing w:after="120"/>
        <w:jc w:val="both"/>
      </w:pPr>
      <w:r>
        <w:t xml:space="preserve">El presente Programa de Seguridad y Salud en el Trabajo (PSST) establece las obligaciones del patrono y las medidas de prevención aplicables a la actividad de panadería y pastelería de [COMPLETAR: razón social], con el objeto de proteger la vida, la salud y la integridad del personal.</w:t>
      </w:r>
    </w:p>
    <w:p>
      <w:pPr>
        <w:spacing w:after="120"/>
      </w:pPr>
      <w:r>
        <w:rPr>
          <w:sz w:val="20"/>
          <w:szCs w:val="20"/>
        </w:rPr>
        <w:t xml:space="preserve">Programa de Seguridad y Salud en el Trabajo; deroga la NT-01-2008.</w:t>
      </w:r>
    </w:p>
    <w:p>
      <w:pPr>
        <w:spacing w:after="120"/>
      </w:pPr>
      <w:r>
        <w:rPr>
          <w:sz w:val="20"/>
          <w:szCs w:val="20"/>
        </w:rPr>
        <w:t xml:space="preserve">Reglamento parcial de la LOPCYMAT (Decreto N° 5.078).</w:t>
      </w:r>
    </w:p>
    <w:p>
      <w:pPr>
        <w:pStyle w:val="Heading1"/>
      </w:pPr>
      <w:r>
        <w:t xml:space="preserve">1. Objeto, alcance y definiciones</w:t>
      </w:r>
    </w:p>
    <w:p>
      <w:pPr>
        <w:pStyle w:val="Heading3"/>
      </w:pPr>
      <w:r>
        <w:t xml:space="preserve">1.1 Objeto</w:t>
      </w:r>
    </w:p>
    <w:p>
      <w:pPr>
        <w:spacing w:after="120"/>
        <w:jc w:val="both"/>
      </w:pPr>
      <w:r>
        <w:t xml:space="preserve">Definir, organizar y ejecutar las actividades de promoción, prevención y control de los riesgos laborales del establecimiento, conforme a la normativa vigente.</w:t>
      </w:r>
    </w:p>
    <w:p>
      <w:pPr>
        <w:pStyle w:val="Heading3"/>
      </w:pPr>
      <w:r>
        <w:t xml:space="preserve">1.2 Alcance</w:t>
      </w:r>
    </w:p>
    <w:p>
      <w:pPr>
        <w:spacing w:after="120"/>
        <w:jc w:val="both"/>
      </w:pPr>
      <w:r>
        <w:t xml:space="preserve">Aplica a todo el personal de la empresa, en todas las áreas y turnos, incluido el personal contratado o en período de inducción.</w:t>
      </w:r>
    </w:p>
    <w:p>
      <w:pPr>
        <w:pStyle w:val="Heading3"/>
      </w:pPr>
      <w:r>
        <w:t xml:space="preserve">1.3 Definiciones</w:t>
      </w:r>
    </w:p>
    <w:p>
      <w:pPr>
        <w:pStyle w:val="ListParagraph"/>
        <w:numPr>
          <w:ilvl w:val="0"/>
          <w:numId w:val="1"/>
        </w:numPr>
      </w:pPr>
      <w:r>
        <w:t xml:space="preserve">Peligro: fuente o situación con potencial de causar daño.</w:t>
      </w:r>
    </w:p>
    <w:p>
      <w:pPr>
        <w:pStyle w:val="ListParagraph"/>
        <w:numPr>
          <w:ilvl w:val="0"/>
          <w:numId w:val="1"/>
        </w:numPr>
      </w:pPr>
      <w:r>
        <w:t xml:space="preserve">Riesgo: probabilidad de que un peligro se materialice y cause daño.</w:t>
      </w:r>
    </w:p>
    <w:p>
      <w:pPr>
        <w:pStyle w:val="ListParagraph"/>
        <w:numPr>
          <w:ilvl w:val="0"/>
          <w:numId w:val="1"/>
        </w:numPr>
      </w:pPr>
      <w:r>
        <w:t xml:space="preserve">Accidente de trabajo: suceso que produce una lesión relacionada con el trabajo.</w:t>
      </w:r>
    </w:p>
    <w:p>
      <w:pPr>
        <w:pStyle w:val="Heading1"/>
      </w:pPr>
      <w:r>
        <w:t xml:space="preserve">2. Política de seguridad y salud</w:t>
      </w:r>
    </w:p>
    <w:p>
      <w:pPr>
        <w:spacing w:after="120"/>
        <w:jc w:val="both"/>
      </w:pPr>
      <w:r>
        <w:t xml:space="preserve">[COMPLETAR: razón social] asume el compromiso de mantener un ambiente de trabajo seguro y saludable, de cumplir la normativa aplicable y de mejorar de forma continua sus condiciones de trabajo, con la participación activa de los trabajadores y las trabajadoras.</w:t>
      </w:r>
    </w:p>
    <w:p>
      <w:pPr>
        <w:pStyle w:val="ListParagraph"/>
        <w:numPr>
          <w:ilvl w:val="0"/>
          <w:numId w:val="2"/>
        </w:numPr>
      </w:pPr>
      <w:r>
        <w:t xml:space="preserve">Integrar la seguridad y la salud en cada puesto y proceso de trabajo.</w:t>
      </w:r>
    </w:p>
    <w:p>
      <w:pPr>
        <w:pStyle w:val="ListParagraph"/>
        <w:numPr>
          <w:ilvl w:val="0"/>
          <w:numId w:val="2"/>
        </w:numPr>
      </w:pPr>
      <w:r>
        <w:t xml:space="preserve">Identificar los peligros y evaluar los riesgos de forma periódica.</w:t>
      </w:r>
    </w:p>
    <w:p>
      <w:pPr>
        <w:pStyle w:val="ListParagraph"/>
        <w:numPr>
          <w:ilvl w:val="0"/>
          <w:numId w:val="2"/>
        </w:numPr>
      </w:pPr>
      <w:r>
        <w:t xml:space="preserve">Capacitar al personal sobre los riesgos de su puesto y su prevención.</w:t>
      </w:r>
    </w:p>
    <w:p>
      <w:pPr>
        <w:pStyle w:val="ListParagraph"/>
        <w:numPr>
          <w:ilvl w:val="0"/>
          <w:numId w:val="2"/>
        </w:numPr>
      </w:pPr>
      <w:r>
        <w:t xml:space="preserve">Garantizar el uso adecuado del EPP entregado.</w:t>
      </w:r>
    </w:p>
    <w:p>
      <w:pPr>
        <w:pStyle w:val="Heading1"/>
      </w:pPr>
      <w:r>
        <w:t xml:space="preserve">3. Obligaciones del patrono</w:t>
      </w:r>
    </w:p>
    <w:p>
      <w:pPr>
        <w:pStyle w:val="ListParagraph"/>
        <w:numPr>
          <w:ilvl w:val="0"/>
          <w:numId w:val="2"/>
        </w:numPr>
      </w:pPr>
      <w:r>
        <w:t xml:space="preserve">Informar por escrito a cada trabajador(ra) sobre los riesgos de su puesto y las medidas de prevención, al ingresar y cuando cambien las condiciones.</w:t>
      </w:r>
    </w:p>
    <w:p>
      <w:pPr>
        <w:spacing w:after="120"/>
      </w:pPr>
      <w:r>
        <w:rPr>
          <w:sz w:val="20"/>
          <w:szCs w:val="20"/>
        </w:rPr>
        <w:t xml:space="preserve">Deber del patrono de informar por escrito al trabajador sobre los riesgos y las medidas de prevención, tanto al ingresar como cuando cambien las condiciones (num. 3).</w:t>
      </w:r>
    </w:p>
    <w:p>
      <w:pPr>
        <w:pStyle w:val="ListParagraph"/>
        <w:numPr>
          <w:ilvl w:val="0"/>
          <w:numId w:val="2"/>
        </w:numPr>
      </w:pPr>
      <w:r>
        <w:t xml:space="preserve">Proveer los implementos y equipos de protección personal adecuados, sin costo para el trabajador(ra), y velar por su uso.</w:t>
      </w:r>
    </w:p>
    <w:p>
      <w:pPr>
        <w:spacing w:after="120"/>
      </w:pPr>
      <w:r>
        <w:rPr>
          <w:sz w:val="20"/>
          <w:szCs w:val="20"/>
        </w:rPr>
        <w:t xml:space="preserve">Derecho a ser provisto de los implementos y equipos de protección personal adecuados (num. 4).</w:t>
      </w:r>
    </w:p>
    <w:p>
      <w:pPr>
        <w:pStyle w:val="ListParagraph"/>
        <w:numPr>
          <w:ilvl w:val="0"/>
          <w:numId w:val="2"/>
        </w:numPr>
      </w:pPr>
      <w:r>
        <w:t xml:space="preserve">Realizar la vigilancia de la salud de los trabajadores y las trabajadoras.</w:t>
      </w:r>
    </w:p>
    <w:p>
      <w:pPr>
        <w:pStyle w:val="ListParagraph"/>
        <w:numPr>
          <w:ilvl w:val="0"/>
          <w:numId w:val="2"/>
        </w:numPr>
      </w:pPr>
      <w:r>
        <w:t xml:space="preserve">Notificar e investigar los accidentes de trabajo conforme a la ley.</w:t>
      </w:r>
    </w:p>
    <w:p>
      <w:pPr>
        <w:pStyle w:val="ListParagraph"/>
        <w:numPr>
          <w:ilvl w:val="0"/>
          <w:numId w:val="2"/>
        </w:numPr>
      </w:pPr>
      <w:r>
        <w:t xml:space="preserve">Mantener un registro de las condiciones y de las acciones preventivas.</w:t>
      </w:r>
    </w:p>
    <w:p>
      <w:pPr>
        <w:pStyle w:val="Heading1"/>
      </w:pPr>
      <w:r>
        <w:t xml:space="preserve">4. Organización de la seguridad y salud</w:t>
      </w:r>
    </w:p>
    <w:p>
      <w:pPr>
        <w:spacing w:after="120"/>
        <w:jc w:val="both"/>
      </w:pPr>
      <w:r>
        <w:t xml:space="preserve">La empresa conforma y apoya el Comité de Seguridad y Salud Laboral y la figura de los delegados o delegadas de prevención, como órganos de participación en la materia.</w:t>
      </w:r>
    </w:p>
    <w:p>
      <w:pPr>
        <w:spacing w:after="120"/>
      </w:pPr>
      <w:r>
        <w:rPr>
          <w:sz w:val="20"/>
          <w:szCs w:val="20"/>
        </w:rPr>
        <w:t xml:space="preserve">Comité de Seguridad y Salud Laboral: órgano paritario y colegiado de participación.</w:t>
      </w:r>
    </w:p>
    <w:p>
      <w:pPr>
        <w:spacing w:after="120"/>
      </w:pPr>
      <w:r>
        <w:rPr>
          <w:b/>
          <w:bCs/>
        </w:rPr>
        <w:t xml:space="preserve">Coordinador(a) de Seguridad y Salud Laboral: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Delegado(s) de prevención: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 de constitución del Comité: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5. Identificación de peligros y evaluación de riesgos</w:t>
      </w:r>
    </w:p>
    <w:p>
      <w:pPr>
        <w:spacing w:after="120"/>
        <w:jc w:val="both"/>
      </w:pPr>
      <w:r>
        <w:t xml:space="preserve">Se identifican los peligros por área de trabajo y se definen las medidas preventivas y de control correspondientes a la actividad de panadería y pastelería.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Área de trabajo</w:t>
            </w:r>
          </w:p>
        </w:tc>
        <w:tc>
          <w:p>
            <w:r>
              <w:rPr>
                <w:b/>
                <w:bCs/>
              </w:rPr>
              <w:t xml:space="preserve">Peligros y riesgos</w:t>
            </w:r>
          </w:p>
        </w:tc>
        <w:tc>
          <w:p>
            <w:r>
              <w:rPr>
                <w:b/>
                <w:bCs/>
              </w:rPr>
              <w:t xml:space="preserve">Medidas preventivas y de control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Cocina y horno</w:t>
            </w:r>
          </w:p>
        </w:tc>
        <w:tc>
          <w:p>
            <w:r>
              <w:rPr>
                <w:b w:val="false"/>
                <w:bCs w:val="false"/>
              </w:rPr>
              <w:t xml:space="preserve">Cortes, quemaduras, contacto con gas, carga manual</w:t>
            </w:r>
          </w:p>
        </w:tc>
        <w:tc>
          <w:p>
            <w:r>
              <w:rPr>
                <w:b w:val="false"/>
                <w:bCs w:val="false"/>
              </w:rPr>
              <w:t xml:space="preserve">EPP, mantenimiento de equipos, ventilación y extintores.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Lavado de platos</w:t>
            </w:r>
          </w:p>
        </w:tc>
        <w:tc>
          <w:p>
            <w:r>
              <w:rPr>
                <w:b w:val="false"/>
                <w:bCs w:val="false"/>
              </w:rPr>
              <w:t xml:space="preserve">Cortes con vajilla, químicos de limpieza, pisos húmedos</w:t>
            </w:r>
          </w:p>
        </w:tc>
        <w:tc>
          <w:p>
            <w:r>
              <w:rPr>
                <w:b w:val="false"/>
                <w:bCs w:val="false"/>
              </w:rPr>
              <w:t xml:space="preserve">Guantes, dilución correcta, señalización y calzado antideslizante.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Salón y atención al público</w:t>
            </w:r>
          </w:p>
        </w:tc>
        <w:tc>
          <w:p>
            <w:r>
              <w:rPr>
                <w:b w:val="false"/>
                <w:bCs w:val="false"/>
              </w:rPr>
              <w:t xml:space="preserve">Resbalones, carga de bandejas, estrés, agresión de clientes</w:t>
            </w:r>
          </w:p>
        </w:tc>
        <w:tc>
          <w:p>
            <w:r>
              <w:rPr>
                <w:b w:val="false"/>
                <w:bCs w:val="false"/>
              </w:rPr>
              <w:t xml:space="preserve">Pisos secos, técnica de carga, protocolo de atención y apoyo del supervisor.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Caja y administración</w:t>
            </w:r>
          </w:p>
        </w:tc>
        <w:tc>
          <w:p>
            <w:r>
              <w:rPr>
                <w:b w:val="false"/>
                <w:bCs w:val="false"/>
              </w:rPr>
              <w:t xml:space="preserve">Robo o violencia, fatiga visual, posturas prolongadas</w:t>
            </w:r>
          </w:p>
        </w:tc>
        <w:tc>
          <w:p>
            <w:r>
              <w:rPr>
                <w:b w:val="false"/>
                <w:bCs w:val="false"/>
              </w:rPr>
              <w:t xml:space="preserve">Manejo discreto del efectivo, pausas activas y ergonomía del puesto.</w:t>
            </w:r>
          </w:p>
        </w:tc>
      </w:tr>
    </w:tbl>
    <w:p>
      <w:pPr>
        <w:pStyle w:val="Heading1"/>
      </w:pPr>
      <w:r>
        <w:t xml:space="preserve">6. Plan de formación</w:t>
      </w:r>
    </w:p>
    <w:p>
      <w:pPr>
        <w:pStyle w:val="ListParagraph"/>
        <w:numPr>
          <w:ilvl w:val="0"/>
          <w:numId w:val="1"/>
        </w:numPr>
      </w:pPr>
      <w:r>
        <w:t xml:space="preserve">Inducción en seguridad y salud al ingresar al trabajo.</w:t>
      </w:r>
    </w:p>
    <w:p>
      <w:pPr>
        <w:pStyle w:val="ListParagraph"/>
        <w:numPr>
          <w:ilvl w:val="0"/>
          <w:numId w:val="1"/>
        </w:numPr>
      </w:pPr>
      <w:r>
        <w:t xml:space="preserve">Formación en manipulación de alimentos e higiene.</w:t>
      </w:r>
    </w:p>
    <w:p>
      <w:pPr>
        <w:pStyle w:val="ListParagraph"/>
        <w:numPr>
          <w:ilvl w:val="0"/>
          <w:numId w:val="1"/>
        </w:numPr>
      </w:pPr>
      <w:r>
        <w:t xml:space="preserve">Uso correcto del EPP y manejo de equipos de cocina y horno.</w:t>
      </w:r>
    </w:p>
    <w:p>
      <w:pPr>
        <w:pStyle w:val="ListParagraph"/>
        <w:numPr>
          <w:ilvl w:val="0"/>
          <w:numId w:val="1"/>
        </w:numPr>
      </w:pPr>
      <w:r>
        <w:t xml:space="preserve">Simulacros de emergencia y uso de extintores.</w:t>
      </w:r>
    </w:p>
    <w:p>
      <w:pPr>
        <w:pStyle w:val="Heading1"/>
      </w:pPr>
      <w:r>
        <w:t xml:space="preserve">7. Planes de emergencia y respuesta</w:t>
      </w:r>
    </w:p>
    <w:p>
      <w:pPr>
        <w:pStyle w:val="ListParagraph"/>
        <w:numPr>
          <w:ilvl w:val="0"/>
          <w:numId w:val="2"/>
        </w:numPr>
      </w:pPr>
      <w:r>
        <w:t xml:space="preserve">Mantener señalizadas las salidas y las rutas de evacuación.</w:t>
      </w:r>
    </w:p>
    <w:p>
      <w:pPr>
        <w:pStyle w:val="ListParagraph"/>
        <w:numPr>
          <w:ilvl w:val="0"/>
          <w:numId w:val="2"/>
        </w:numPr>
      </w:pPr>
      <w:r>
        <w:t xml:space="preserve">Disponer de extintores vigentes, botiquín y números de emergencia.</w:t>
      </w:r>
    </w:p>
    <w:p>
      <w:pPr>
        <w:pStyle w:val="ListParagraph"/>
        <w:numPr>
          <w:ilvl w:val="0"/>
          <w:numId w:val="2"/>
        </w:numPr>
      </w:pPr>
      <w:r>
        <w:t xml:space="preserve">Definir el procedimiento de respuesta ante incendio, gas, sismo o lesión.</w:t>
      </w:r>
    </w:p>
    <w:p>
      <w:pPr>
        <w:pStyle w:val="ListParagraph"/>
        <w:numPr>
          <w:ilvl w:val="0"/>
          <w:numId w:val="2"/>
        </w:numPr>
      </w:pPr>
      <w:r>
        <w:t xml:space="preserve">Designar un responsable de activar la evacuación y el aviso a los servicios.</w:t>
      </w:r>
    </w:p>
    <w:p>
      <w:pPr>
        <w:pStyle w:val="Heading1"/>
      </w:pPr>
      <w:r>
        <w:t xml:space="preserve">8. Vigilancia de la salud</w:t>
      </w:r>
    </w:p>
    <w:p>
      <w:pPr>
        <w:pStyle w:val="ListParagraph"/>
        <w:numPr>
          <w:ilvl w:val="0"/>
          <w:numId w:val="2"/>
        </w:numPr>
      </w:pPr>
      <w:r>
        <w:t xml:space="preserve">Practicar los exámenes de salud de ingreso, periódicos y de egreso.</w:t>
      </w:r>
    </w:p>
    <w:p>
      <w:pPr>
        <w:pStyle w:val="ListParagraph"/>
        <w:numPr>
          <w:ilvl w:val="0"/>
          <w:numId w:val="2"/>
        </w:numPr>
      </w:pPr>
      <w:r>
        <w:t xml:space="preserve">Mantener la confidencialidad de los datos de salud del personal.</w:t>
      </w:r>
    </w:p>
    <w:p>
      <w:pPr>
        <w:pStyle w:val="ListParagraph"/>
        <w:numPr>
          <w:ilvl w:val="0"/>
          <w:numId w:val="2"/>
        </w:numPr>
      </w:pPr>
      <w:r>
        <w:t xml:space="preserve">Referir a los servicios médicos los casos que lo requieran.</w:t>
      </w:r>
    </w:p>
    <w:p>
      <w:pPr>
        <w:pStyle w:val="Heading1"/>
      </w:pPr>
      <w:r>
        <w:t xml:space="preserve">9. Registros y evaluación</w:t>
      </w:r>
    </w:p>
    <w:p>
      <w:pPr>
        <w:pStyle w:val="ListParagraph"/>
        <w:numPr>
          <w:ilvl w:val="0"/>
          <w:numId w:val="2"/>
        </w:numPr>
      </w:pPr>
      <w:r>
        <w:t xml:space="preserve">Registrar los riesgos, los incidentes, los accidentes y las acciones tomadas.</w:t>
      </w:r>
    </w:p>
    <w:p>
      <w:pPr>
        <w:pStyle w:val="ListParagraph"/>
        <w:numPr>
          <w:ilvl w:val="0"/>
          <w:numId w:val="2"/>
        </w:numPr>
      </w:pPr>
      <w:r>
        <w:t xml:space="preserve">Evaluar el programa de manera periódica y actualizarlo cuando cambien las condiciones.</w:t>
      </w:r>
    </w:p>
    <w:p>
      <w:pPr>
        <w:pStyle w:val="ListParagraph"/>
        <w:numPr>
          <w:ilvl w:val="0"/>
          <w:numId w:val="2"/>
        </w:numPr>
      </w:pPr>
      <w:r>
        <w:t xml:space="preserve">Conservar la documentación a disposición de la autoridad competente.</w:t>
      </w:r>
    </w:p>
    <w:p>
      <w:pPr>
        <w:pStyle w:val="Heading1"/>
      </w:pPr>
      <w:r>
        <w:t xml:space="preserve">10. Aprobación y firma</w:t>
      </w:r>
    </w:p>
    <w:p>
      <w:pPr>
        <w:spacing w:after="120"/>
        <w:jc w:val="both"/>
      </w:pPr>
      <w:r>
        <w:t xml:space="preserve">El presente Programa de Seguridad y Salud en el Trabajo se aprueba para su ejecución y aplicación en el establecimiento a partir de la fecha señalada.</w:t>
      </w:r>
    </w:p>
    <w:p>
      <w:pPr>
        <w:spacing w:after="120"/>
      </w:pPr>
      <w:r>
        <w:rPr>
          <w:b/>
          <w:bCs/>
        </w:rPr>
        <w:t xml:space="preserve">Fecha de aprobación: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[COMPLETAR]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TRABAJADOR(A) / DELEGADO(A)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Programa de Seguridad y Salud en el Trabajo. Requiere revisión por abogado laboralista y por un profesional de seguridad y salud antes de su uso formal.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[COMPLETAR: razón social]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