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POLÍTICA DE PREVENCIÓN DEL ACOSO Y LA NO DISCRIMINACIÓN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· Ambientes de trabajo libres de violencia</w:t>
      </w:r>
    </w:p>
    <w:p>
      <w:pPr>
        <w:spacing w:after="120"/>
        <w:jc w:val="both"/>
      </w:pPr>
      <w:r>
        <w:t xml:space="preserve">La presente política tiene por objeto prevenir, detectar y sancionar toda forma de acoso laboral, acoso sexual, hostigamiento, violencia y discriminación en [COMPLETAR: razón social], y garantizar un ambiente de trabajo digno, respetuoso y seguro para todo el personal, con independencia del cargo, la modalidad o el tiempo de servicio.</w:t>
      </w:r>
    </w:p>
    <w:p>
      <w:pPr>
        <w:spacing w:after="120"/>
      </w:pPr>
      <w:r>
        <w:rPr>
          <w:sz w:val="20"/>
          <w:szCs w:val="20"/>
        </w:rPr>
        <w:t xml:space="preserve">Derecho al trabajo.</w:t>
      </w:r>
    </w:p>
    <w:p>
      <w:pPr>
        <w:spacing w:after="120"/>
      </w:pPr>
      <w:r>
        <w:rPr>
          <w:sz w:val="20"/>
          <w:szCs w:val="20"/>
        </w:rPr>
        <w:t xml:space="preserve">Irrenunciabilidad de los derechos laborales.</w:t>
      </w:r>
    </w:p>
    <w:p>
      <w:pPr>
        <w:pStyle w:val="Heading1"/>
      </w:pPr>
      <w:r>
        <w:t xml:space="preserve">1. Alcance</w:t>
      </w:r>
    </w:p>
    <w:p>
      <w:pPr>
        <w:spacing w:after="120"/>
        <w:jc w:val="both"/>
      </w:pPr>
      <w:r>
        <w:t xml:space="preserve">Esta política aplica a las trabajadoras y los trabajadores, al personal en período de inducción, a los contratados y a cualquier persona que preste servicios o interactúe con el personal en el establecimiento. Comprende las conductas realizadas dentro del centro de trabajo y aquellas vinculadas con la relación laboral, incluidas las comunicaciones electrónicas.</w:t>
      </w:r>
    </w:p>
    <w:p>
      <w:pPr>
        <w:pStyle w:val="Heading1"/>
      </w:pPr>
      <w:r>
        <w:t xml:space="preserve">2. Principios</w:t>
      </w:r>
    </w:p>
    <w:p>
      <w:pPr>
        <w:pStyle w:val="ListParagraph"/>
        <w:numPr>
          <w:ilvl w:val="0"/>
          <w:numId w:val="2"/>
        </w:numPr>
      </w:pPr>
      <w:r>
        <w:t xml:space="preserve">Respeto a la dignidad de la persona y a la igualdad de trato.</w:t>
      </w:r>
    </w:p>
    <w:p>
      <w:pPr>
        <w:pStyle w:val="ListParagraph"/>
        <w:numPr>
          <w:ilvl w:val="0"/>
          <w:numId w:val="2"/>
        </w:numPr>
      </w:pPr>
      <w:r>
        <w:t xml:space="preserve">Prohibición de toda forma de discriminación, acoso o violencia.</w:t>
      </w:r>
    </w:p>
    <w:p>
      <w:pPr>
        <w:pStyle w:val="ListParagraph"/>
        <w:numPr>
          <w:ilvl w:val="0"/>
          <w:numId w:val="2"/>
        </w:numPr>
      </w:pPr>
      <w:r>
        <w:t xml:space="preserve">Confidencialidad de la denuncia y protección de la persona afectada.</w:t>
      </w:r>
    </w:p>
    <w:p>
      <w:pPr>
        <w:pStyle w:val="ListParagraph"/>
        <w:numPr>
          <w:ilvl w:val="0"/>
          <w:numId w:val="2"/>
        </w:numPr>
      </w:pPr>
      <w:r>
        <w:t xml:space="preserve">Prohibición de represalias contra quien denuncia de buena fe.</w:t>
      </w:r>
    </w:p>
    <w:p>
      <w:pPr>
        <w:pStyle w:val="ListParagraph"/>
        <w:numPr>
          <w:ilvl w:val="0"/>
          <w:numId w:val="2"/>
        </w:numPr>
      </w:pPr>
      <w:r>
        <w:t xml:space="preserve">Irrenunciabilidad de los derechos laborales: esta política no puede desmejorar los derechos que la ley reconoce al personal.</w:t>
      </w:r>
    </w:p>
    <w:p>
      <w:pPr>
        <w:pStyle w:val="Heading1"/>
      </w:pPr>
      <w:r>
        <w:t xml:space="preserve">3. Conductas prohibidas</w:t>
      </w:r>
    </w:p>
    <w:p>
      <w:pPr>
        <w:spacing w:after="120"/>
        <w:jc w:val="both"/>
      </w:pPr>
      <w:r>
        <w:t xml:space="preserve">Quedan expresamente prohibidas, entre otras, las siguientes conductas, sin importar el nivel jerárquico de quien las cometa: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tblHeader/>
        </w:trPr>
        <w:tc>
          <w:p>
            <w:r>
              <w:rPr>
                <w:b/>
                <w:bCs/>
              </w:rPr>
              <w:t xml:space="preserve">Tipo de conducta</w:t>
            </w:r>
          </w:p>
        </w:tc>
        <w:tc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Acoso laboral</w:t>
            </w:r>
          </w:p>
        </w:tc>
        <w:tc>
          <w:p>
            <w:r>
              <w:rPr>
                <w:b w:val="false"/>
                <w:bCs w:val="false"/>
              </w:rPr>
              <w:t xml:space="preserve">Hostigamiento o trato humillante reiterado que afecta la dignidad, la salud o el desempeño del trabajador(ra).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Acoso sexual</w:t>
            </w:r>
          </w:p>
        </w:tc>
        <w:tc>
          <w:p>
            <w:r>
              <w:rPr>
                <w:b w:val="false"/>
                <w:bCs w:val="false"/>
              </w:rPr>
              <w:t xml:space="preserve">Conductas de connotación sexual no consentidas, con o sin amenaza de represalia o condicionamiento del empleo.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Discriminación</w:t>
            </w:r>
          </w:p>
        </w:tc>
        <w:tc>
          <w:p>
            <w:r>
              <w:rPr>
                <w:b w:val="false"/>
                <w:bCs w:val="false"/>
              </w:rPr>
              <w:t xml:space="preserve">Trato desigual por razón de sexo, edad, estado civil, orientación sexual, nacionalidad, religión, discapacidad, condición social o estado de salud.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Represalia</w:t>
            </w:r>
          </w:p>
        </w:tc>
        <w:tc>
          <w:p>
            <w:r>
              <w:rPr>
                <w:b w:val="false"/>
                <w:bCs w:val="false"/>
              </w:rPr>
              <w:t xml:space="preserve">Actos de venganza contra quien denuncia, testifica o participa en una investigación de acoso o discriminación.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Violencia laboral</w:t>
            </w:r>
          </w:p>
        </w:tc>
        <w:tc>
          <w:p>
            <w:r>
              <w:rPr>
                <w:b w:val="false"/>
                <w:bCs w:val="false"/>
              </w:rPr>
              <w:t xml:space="preserve">Agresión física, verbal o psicológica ocurrida en el entorno de trabajo o con ocasión de él.</w:t>
            </w:r>
          </w:p>
        </w:tc>
      </w:tr>
    </w:tbl>
    <w:p>
      <w:pPr>
        <w:pStyle w:val="Heading1"/>
      </w:pPr>
      <w:r>
        <w:t xml:space="preserve">4. Canal de denuncia</w:t>
      </w:r>
    </w:p>
    <w:p>
      <w:pPr>
        <w:spacing w:after="120"/>
        <w:jc w:val="both"/>
      </w:pPr>
      <w:r>
        <w:t xml:space="preserve">Toda persona que presencie o sufra una conducta de acoso, violencia o discriminación puede denunciarla por los canales internos previstos. La empresa habilitará más de un canal para que la denuncia pueda presentarse incluso cuando la conducta provenga de un superior inmediato.</w:t>
      </w:r>
    </w:p>
    <w:p>
      <w:pPr>
        <w:spacing w:after="120"/>
      </w:pPr>
      <w:r>
        <w:rPr>
          <w:b/>
          <w:bCs/>
        </w:rPr>
        <w:t xml:space="preserve">Responsable de recibir la denuncia: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Correo o medio de contacto habilitado: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Teléfono o canal alternativo: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la denuncia: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Relato de los hechos: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5. Procedimiento de actuación</w:t>
      </w:r>
    </w:p>
    <w:p>
      <w:pPr>
        <w:pStyle w:val="ListParagraph"/>
        <w:numPr>
          <w:ilvl w:val="0"/>
          <w:numId w:val="2"/>
        </w:numPr>
      </w:pPr>
      <w:r>
        <w:t xml:space="preserve">Recepción de la denuncia y registro reservado de la información.</w:t>
      </w:r>
    </w:p>
    <w:p>
      <w:pPr>
        <w:pStyle w:val="ListParagraph"/>
        <w:numPr>
          <w:ilvl w:val="0"/>
          <w:numId w:val="2"/>
        </w:numPr>
      </w:pPr>
      <w:r>
        <w:t xml:space="preserve">Análisis preliminar para determinar la gravedad y las medidas de protección inmediatas.</w:t>
      </w:r>
    </w:p>
    <w:p>
      <w:pPr>
        <w:pStyle w:val="ListParagraph"/>
        <w:numPr>
          <w:ilvl w:val="0"/>
          <w:numId w:val="2"/>
        </w:numPr>
      </w:pPr>
      <w:r>
        <w:t xml:space="preserve">Apertura de la investigación con respeto al derecho a ser oído(a) de las partes.</w:t>
      </w:r>
    </w:p>
    <w:p>
      <w:pPr>
        <w:pStyle w:val="ListParagraph"/>
        <w:numPr>
          <w:ilvl w:val="0"/>
          <w:numId w:val="2"/>
        </w:numPr>
      </w:pPr>
      <w:r>
        <w:t xml:space="preserve">Adopción de medidas para impedir la continuidad de la conducta.</w:t>
      </w:r>
    </w:p>
    <w:p>
      <w:pPr>
        <w:pStyle w:val="ListParagraph"/>
        <w:numPr>
          <w:ilvl w:val="0"/>
          <w:numId w:val="2"/>
        </w:numPr>
      </w:pPr>
      <w:r>
        <w:t xml:space="preserve">Determinación de responsabilidades y aplicación de las sanciones del caso.</w:t>
      </w:r>
    </w:p>
    <w:p>
      <w:pPr>
        <w:pStyle w:val="ListParagraph"/>
        <w:numPr>
          <w:ilvl w:val="0"/>
          <w:numId w:val="2"/>
        </w:numPr>
      </w:pPr>
      <w:r>
        <w:t xml:space="preserve">Seguimiento del caso y cierre con notificación a las partes.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El procedimiento se tramita con estricta confidencialidad. Cuando la conducta sea constitutiva de delito, la empresa orientará a la persona afectada y, de ser el caso, notificará a las autoridades competentes.</w:t>
      </w:r>
    </w:p>
    <w:p>
      <w:pPr>
        <w:pStyle w:val="Heading1"/>
      </w:pPr>
      <w:r>
        <w:t xml:space="preserve">6. Medidas de protección</w:t>
      </w:r>
    </w:p>
    <w:p>
      <w:pPr>
        <w:pStyle w:val="ListParagraph"/>
        <w:numPr>
          <w:ilvl w:val="0"/>
          <w:numId w:val="1"/>
        </w:numPr>
      </w:pPr>
      <w:r>
        <w:t xml:space="preserve">Separación preventiva de las partes cuando resulte necesario.</w:t>
      </w:r>
    </w:p>
    <w:p>
      <w:pPr>
        <w:pStyle w:val="ListParagraph"/>
        <w:numPr>
          <w:ilvl w:val="0"/>
          <w:numId w:val="1"/>
        </w:numPr>
      </w:pPr>
      <w:r>
        <w:t xml:space="preserve">Acompañamiento y apoyo a la persona afectada durante la investigación.</w:t>
      </w:r>
    </w:p>
    <w:p>
      <w:pPr>
        <w:pStyle w:val="ListParagraph"/>
        <w:numPr>
          <w:ilvl w:val="0"/>
          <w:numId w:val="1"/>
        </w:numPr>
      </w:pPr>
      <w:r>
        <w:t xml:space="preserve">Reserva de la identidad de quien denuncia, en la medida de lo posible.</w:t>
      </w:r>
    </w:p>
    <w:p>
      <w:pPr>
        <w:pStyle w:val="ListParagraph"/>
        <w:numPr>
          <w:ilvl w:val="0"/>
          <w:numId w:val="1"/>
        </w:numPr>
      </w:pPr>
      <w:r>
        <w:t xml:space="preserve">Ajuste de turnos o tareas para evitar el contacto con la persona señalada.</w:t>
      </w:r>
    </w:p>
    <w:p>
      <w:pPr>
        <w:pStyle w:val="ListParagraph"/>
        <w:numPr>
          <w:ilvl w:val="0"/>
          <w:numId w:val="1"/>
        </w:numPr>
      </w:pPr>
      <w:r>
        <w:t xml:space="preserve">Prohibición expresa de represalias contra quien denuncia o testifica.</w:t>
      </w:r>
    </w:p>
    <w:p>
      <w:pPr>
        <w:pStyle w:val="Heading1"/>
      </w:pPr>
      <w:r>
        <w:t xml:space="preserve">7. Sanciones</w:t>
      </w:r>
    </w:p>
    <w:p>
      <w:pPr>
        <w:spacing w:after="120"/>
        <w:jc w:val="both"/>
      </w:pPr>
      <w:r>
        <w:t xml:space="preserve">El incumplimiento de esta política se considera una falta grave o muy grave, según el caso, y se sanciona conforme al reglamento interno, sin perjuicio de las responsabilidades legales que correspondan. Las conductas de acoso y discriminación se valoran entre las más graves del régimen disciplinario interno.</w:t>
      </w:r>
    </w:p>
    <w:p>
      <w:pPr>
        <w:pStyle w:val="Heading1"/>
      </w:pPr>
      <w:r>
        <w:t xml:space="preserve">8. Compromiso</w:t>
      </w:r>
    </w:p>
    <w:p>
      <w:pPr>
        <w:spacing w:after="120"/>
        <w:jc w:val="both"/>
      </w:pPr>
      <w:r>
        <w:t xml:space="preserve">[COMPLETAR: razón social] se compromete a difundir esta política, a capacitar al personal y a revisar periódicamente las medidas adoptadas para erradicar el acoso y la discriminación en el trabajo.</w:t>
      </w:r>
    </w:p>
    <w:p>
      <w:pPr>
        <w:spacing w:after="120"/>
      </w:pPr>
      <w:r>
        <w:rPr>
          <w:b/>
          <w:bCs/>
        </w:rPr>
        <w:t xml:space="preserve">Fecha de entrega al trabajador(ra):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Acuse de recibo</w:t>
      </w:r>
    </w:p>
    <w:p>
      <w:pPr>
        <w:spacing w:after="120"/>
        <w:jc w:val="both"/>
      </w:pPr>
      <w:r>
        <w:t xml:space="preserve">Declaro haber recibido y comprendido la presente Política de Prevención del Acoso y la No Discriminación, y me comprometo a respetarla.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Política interna de prevención del acoso y la no discriminación. Requiere revisión por abogado laboralista antes de su uso formal. Se entrega junto con el reglamento interno y el código de conducta.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