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PROTOCOLO MORDEDURAS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OMS / OIE — Profilaxis PEP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v3.0  ·  SST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PROTOCOLO DE MORDEDURAS Y ZOONOSIS POST-EXPOSICIÓN</w:t>
      </w:r>
    </w:p>
    <w:p>
      <w:pPr>
        <w:spacing w:before="0" w:after="200"/>
        <w:pBdr>
          <w:bottom w:val="single" w:sz="10" w:space="1" w:color="0F766E"/>
        </w:pBdr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OBJETIVO Y ÁMBITO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Objetivo.  </w:t>
      </w:r>
      <w:r>
        <w:rPr>
          <w:rFonts w:ascii="Calibri" w:hAnsi="Calibri" w:cs="Calibri"/>
          <w:b w:val="0"/>
          <w:i w:val="0"/>
          <w:color w:val="111827"/>
          <w:sz w:val="20"/>
        </w:rPr>
        <w:t>Establecer el procedimiento de atención inmediata ante mordeduras, arañazos y exposición a fluidos de animales en el personal de LA EMPRESA, conforme a los lineamientos de la Organización Mundial de la Salud (OMS), la Organización Mundial de Sanidad Animal (OIE), el Ministerio del Poder Popular para la Salud y la LOPCYMAT.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Ámbito.  </w:t>
      </w:r>
      <w:r>
        <w:rPr>
          <w:rFonts w:ascii="Calibri" w:hAnsi="Calibri" w:cs="Calibri"/>
          <w:b w:val="0"/>
          <w:i w:val="0"/>
          <w:color w:val="111827"/>
          <w:sz w:val="20"/>
        </w:rPr>
        <w:t>Aplica a todo el personal, en especial al médico veterinario, auxiliar veterinario y dog groomer, así como a cualquier trabajador(a) que sufra exposición ocupacional a mordedura, arañazo o fluido de animal.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CLASIFICACIÓN DE LA EXPOSICIÓN — OMS/OIE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3.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Categorías.  </w:t>
      </w:r>
      <w:r>
        <w:rPr>
          <w:rFonts w:ascii="Calibri" w:hAnsi="Calibri" w:cs="Calibri"/>
          <w:b w:val="0"/>
          <w:i w:val="0"/>
          <w:color w:val="111827"/>
          <w:sz w:val="20"/>
        </w:rPr>
        <w:t>La OMS clasifica la exposición a material potencialmente rábico en cuatro tipos: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4195"/>
        <w:gridCol w:w="4706"/>
      </w:tblGrid>
      <w:tr>
        <w:tc>
          <w:tcPr>
            <w:tcW w:type="dxa" w:w="907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419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Descripción</w:t>
            </w:r>
          </w:p>
        </w:tc>
        <w:tc>
          <w:tcPr>
            <w:tcW w:type="dxa" w:w="4706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Acción inmediata</w:t>
            </w:r>
          </w:p>
        </w:tc>
      </w:tr>
      <w:tr>
        <w:tc>
          <w:tcPr>
            <w:tcW w:type="dxa" w:w="90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1</w:t>
            </w:r>
          </w:p>
        </w:tc>
        <w:tc>
          <w:tcPr>
            <w:tcW w:type="dxa" w:w="419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Tocar, alimentar o lamido de piel intacta (sin lesión)</w:t>
            </w:r>
          </w:p>
        </w:tc>
        <w:tc>
          <w:tcPr>
            <w:tcW w:type="dxa" w:w="47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Lavado de manos. No requiere PEP. Vigilar animal 10 días.</w:t>
            </w:r>
          </w:p>
        </w:tc>
      </w:tr>
      <w:tr>
        <w:tc>
          <w:tcPr>
            <w:tcW w:type="dxa" w:w="90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2</w:t>
            </w:r>
          </w:p>
        </w:tc>
        <w:tc>
          <w:tcPr>
            <w:tcW w:type="dxa" w:w="419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Arañazo superficial sin sangrado, lamido de piel lesionada</w:t>
            </w:r>
          </w:p>
        </w:tc>
        <w:tc>
          <w:tcPr>
            <w:tcW w:type="dxa" w:w="47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Lavado 15 min con jabón. PEP según estado animal. Vigilar 10 días.</w:t>
            </w:r>
          </w:p>
        </w:tc>
      </w:tr>
      <w:tr>
        <w:tc>
          <w:tcPr>
            <w:tcW w:type="dxa" w:w="90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3</w:t>
            </w:r>
          </w:p>
        </w:tc>
        <w:tc>
          <w:tcPr>
            <w:tcW w:type="dxa" w:w="419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Mordedura única o múltiples con sangrado, lamido de mucosa</w:t>
            </w:r>
          </w:p>
        </w:tc>
        <w:tc>
          <w:tcPr>
            <w:tcW w:type="dxa" w:w="47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Lavado 15 min + antiséptico. PEP COMPLETO (vacuna + IGAR).</w:t>
            </w:r>
          </w:p>
        </w:tc>
      </w:tr>
      <w:tr>
        <w:tc>
          <w:tcPr>
            <w:tcW w:type="dxa" w:w="90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4</w:t>
            </w:r>
          </w:p>
        </w:tc>
        <w:tc>
          <w:tcPr>
            <w:tcW w:type="dxa" w:w="419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Exposición grave: mordedura cabeza/cuello/mano, animal rábico confirmado</w:t>
            </w:r>
          </w:p>
        </w:tc>
        <w:tc>
          <w:tcPr>
            <w:tcW w:type="dxa" w:w="47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Lavado 15 min + IGAR + vacuna regimen Essen completo + serología.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PROCEDIMIENTO INMEDIATO — 8 PASOS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4.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Acción inmediata.  </w:t>
      </w:r>
      <w:r>
        <w:rPr>
          <w:rFonts w:ascii="Calibri" w:hAnsi="Calibri" w:cs="Calibri"/>
          <w:b w:val="0"/>
          <w:i w:val="0"/>
          <w:color w:val="111827"/>
          <w:sz w:val="20"/>
        </w:rPr>
        <w:t>Ante cualquier mordedura, arañazo o salpicadura de fluido en mucosa o piel lesionada, se aplican los siguientes OCHO (8) pasos: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1:  </w:t>
      </w:r>
      <w:r>
        <w:rPr>
          <w:rFonts w:ascii="Calibri" w:hAnsi="Calibri" w:cs="Calibri"/>
          <w:b w:val="0"/>
          <w:i w:val="0"/>
          <w:color w:val="111827"/>
          <w:sz w:val="20"/>
        </w:rPr>
        <w:t>Lavar inmediatamente la herida con agua y jabón durante 15 minutos, sangrando la herida si es posible.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2:  </w:t>
      </w:r>
      <w:r>
        <w:rPr>
          <w:rFonts w:ascii="Calibri" w:hAnsi="Calibri" w:cs="Calibri"/>
          <w:b w:val="0"/>
          <w:i w:val="0"/>
          <w:color w:val="111827"/>
          <w:sz w:val="20"/>
        </w:rPr>
        <w:t>Aplicar antiséptico: alcohol 70% o povidona yodada.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3:  </w:t>
      </w:r>
      <w:r>
        <w:rPr>
          <w:rFonts w:ascii="Calibri" w:hAnsi="Calibri" w:cs="Calibri"/>
          <w:b w:val="0"/>
          <w:i w:val="0"/>
          <w:color w:val="111827"/>
          <w:sz w:val="20"/>
        </w:rPr>
        <w:t>Cubrir la herida con apósito estéril limpio. NO suturar en caso de mordedura (riesgo de infección).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4:  </w:t>
      </w:r>
      <w:r>
        <w:rPr>
          <w:rFonts w:ascii="Calibri" w:hAnsi="Calibri" w:cs="Calibri"/>
          <w:b w:val="0"/>
          <w:i w:val="0"/>
          <w:color w:val="111827"/>
          <w:sz w:val="20"/>
        </w:rPr>
        <w:t>Notificar al supervisor en un máximo de 2 horas (Art. 73 LOPCYMAT).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5:  </w:t>
      </w:r>
      <w:r>
        <w:rPr>
          <w:rFonts w:ascii="Calibri" w:hAnsi="Calibri" w:cs="Calibri"/>
          <w:b w:val="0"/>
          <w:i w:val="0"/>
          <w:color w:val="111827"/>
          <w:sz w:val="20"/>
        </w:rPr>
        <w:t>Completar formulario de reporte de exposición (Anexo B).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6:  </w:t>
      </w:r>
      <w:r>
        <w:rPr>
          <w:rFonts w:ascii="Calibri" w:hAnsi="Calibri" w:cs="Calibri"/>
          <w:b w:val="0"/>
          <w:i w:val="0"/>
          <w:color w:val="111827"/>
          <w:sz w:val="20"/>
        </w:rPr>
        <w:t>Clasificar la exposición (Tipo 1-4) según Capítulo II.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7:  </w:t>
      </w:r>
      <w:r>
        <w:rPr>
          <w:rFonts w:ascii="Calibri" w:hAnsi="Calibri" w:cs="Calibri"/>
          <w:b w:val="0"/>
          <w:i w:val="0"/>
          <w:color w:val="111827"/>
          <w:sz w:val="20"/>
        </w:rPr>
        <w:t>Acudir al centro antirrábico o al IVSS-PMSSO para evaluación y PEP.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8:  </w:t>
      </w:r>
      <w:r>
        <w:rPr>
          <w:rFonts w:ascii="Calibri" w:hAnsi="Calibri" w:cs="Calibri"/>
          <w:b w:val="0"/>
          <w:i w:val="0"/>
          <w:color w:val="111827"/>
          <w:sz w:val="20"/>
        </w:rPr>
        <w:t>Investigar al animal mordedor (vacunación, procedencia, comportamiento) y completar esquema PEP si corresponde.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IV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MANEJO DEL ANIMAL MORDEDOR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5.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Casos posibles.  </w:t>
      </w:r>
      <w:r>
        <w:rPr>
          <w:rFonts w:ascii="Calibri" w:hAnsi="Calibri" w:cs="Calibri"/>
          <w:b w:val="0"/>
          <w:i w:val="0"/>
          <w:color w:val="111827"/>
          <w:sz w:val="20"/>
        </w:rPr>
        <w:t>El manejo del animal mordedor depende de su estatus sanitario y procedencia: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Animal doméstico vacunado:  </w:t>
      </w:r>
      <w:r>
        <w:rPr>
          <w:rFonts w:ascii="Calibri" w:hAnsi="Calibri" w:cs="Calibri"/>
          <w:b w:val="0"/>
          <w:i w:val="0"/>
          <w:color w:val="111827"/>
          <w:sz w:val="20"/>
        </w:rPr>
        <w:t>Si está vacunado y sin signos: observación veterinaria durante 10 días. Si continúa sano, no se indica PEP. Si enferma o muere, se inicia PEP completo y se envía cabeza al INHRR.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Animal doméstico no vacunado:  </w:t>
      </w:r>
      <w:r>
        <w:rPr>
          <w:rFonts w:ascii="Calibri" w:hAnsi="Calibri" w:cs="Calibri"/>
          <w:b w:val="0"/>
          <w:i w:val="0"/>
          <w:color w:val="111827"/>
          <w:sz w:val="20"/>
        </w:rPr>
        <w:t>Si NO está vacunado o vacuna dudosa: iniciar PEP inmediatamente y observar 10 días. Si enferma o muere, enviar cabeza al INHRR.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Animal callejero:  </w:t>
      </w:r>
      <w:r>
        <w:rPr>
          <w:rFonts w:ascii="Calibri" w:hAnsi="Calibri" w:cs="Calibri"/>
          <w:b w:val="0"/>
          <w:i w:val="0"/>
          <w:color w:val="111827"/>
          <w:sz w:val="20"/>
        </w:rPr>
        <w:t>Capturar si es posible y observar 10 días. Si no se captura, iniciar PEP completo inmediatamente.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Animal muerto o sacrificado:  </w:t>
      </w:r>
      <w:r>
        <w:rPr>
          <w:rFonts w:ascii="Calibri" w:hAnsi="Calibri" w:cs="Calibri"/>
          <w:b w:val="0"/>
          <w:i w:val="0"/>
          <w:color w:val="111827"/>
          <w:sz w:val="20"/>
        </w:rPr>
        <w:t>En caso de muerte o sacrificio del animal sospechoso: enviar la cabeza refrigerada (NO congelada) al Instituto Nacional de Higiene Rafael Rangel (INHRR) para prueba de inmunofluorescencia.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5b.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Signos de alerta en el animal mordedor.  </w:t>
      </w:r>
      <w:r>
        <w:rPr>
          <w:rFonts w:ascii="Calibri" w:hAnsi="Calibri" w:cs="Calibri"/>
          <w:b w:val="0"/>
          <w:i w:val="0"/>
          <w:color w:val="111827"/>
          <w:sz w:val="20"/>
        </w:rPr>
        <w:t>El personal debe identificar signos compatibles con rabia en el animal mordedor: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Cambio brusco de conducta (agresividad inusual o excesiva afectividad).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Parálisis progresiva: mandíbula caída, dificultad para tragar, salivación abundante.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Fotofobia, hidrofobia, incoordinación, convulsiones.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Mordedura sin provocación, destrucción de objetos, vagabundeo.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Muerte en un plazo de 5 a 10 días desde la aparición de signos.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/>
          <w:color w:val="B91C1C"/>
          <w:sz w:val="18"/>
        </w:rPr>
        <w:t>Ante cualquiera de estos signos, el animal se considera sospechoso de rabia. Se notifica inmediatamente al MPPS / Servicio Autónomo de Salud Animal (SASA) y se inicia PEP completo en el personal expuesto.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5c.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Sacrificio humanitario y envío de muestra.  </w:t>
      </w:r>
      <w:r>
        <w:rPr>
          <w:rFonts w:ascii="Calibri" w:hAnsi="Calibri" w:cs="Calibri"/>
          <w:b w:val="0"/>
          <w:i w:val="0"/>
          <w:color w:val="111827"/>
          <w:sz w:val="20"/>
        </w:rPr>
        <w:t>Si el animal muere o se sacrifica por indicación del MV o de la autoridad sanitaria, se procede así: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Sacrificio humanitario por MV con método compatible con bienestar animal (pentobarbital IV).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Decapitación aséptica con EPP completo (doble guante, N95, gafas, bata impermeable).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Colocar la cabeza en bolsa estéril, rotular con fecha, especie, número de caso.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Refrigerar a 4°C (NO congelar). Enviar al INHRR en un máximo de 24 horas.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Acompañar con ficha epidemiológica del caso y del personal expuesto.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Mantener cuarentena del área hasta recibir resultado negativo.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ESQUEMA PEP — ESSEN (OMS)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EF3C7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300" w:lineRule="auto"/>
              <w:jc w:val="both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ESQUEMA PEP ESSEN — DÍAS 0, 3, 7, 14, 28 + IGAR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La profilaxis post-exposición (PEP) antirrábica conforme al esquema Essen de la OMS:</w:t>
            </w:r>
            <w:r>
              <w:br/>
            </w:r>
            <w:r>
              <w:rPr>
                <w:rFonts w:ascii="Calibri" w:hAnsi="Calibri"/>
                <w:b/>
                <w:i w:val="0"/>
                <w:color w:val="047857"/>
                <w:sz w:val="18"/>
              </w:rPr>
              <w:t xml:space="preserve"> DÍA 0: 1ra dosis + IGAR (Inmunoglobulina Antirrábica) si Tipo 3 o 4 (20 UI/kg, mitad perilesional, mitad IM)</w:t>
            </w:r>
            <w:r>
              <w:br/>
            </w:r>
            <w:r>
              <w:rPr>
                <w:rFonts w:ascii="Calibri" w:hAnsi="Calibri"/>
                <w:b/>
                <w:i w:val="0"/>
                <w:color w:val="047857"/>
                <w:sz w:val="18"/>
              </w:rPr>
              <w:t xml:space="preserve"> DÍA 3: 2da dosis</w:t>
            </w:r>
            <w:r>
              <w:br/>
            </w:r>
            <w:r>
              <w:rPr>
                <w:rFonts w:ascii="Calibri" w:hAnsi="Calibri"/>
                <w:b/>
                <w:i w:val="0"/>
                <w:color w:val="047857"/>
                <w:sz w:val="18"/>
              </w:rPr>
              <w:t xml:space="preserve"> DÍA 7: 3ra dosis</w:t>
            </w:r>
            <w:r>
              <w:br/>
            </w:r>
            <w:r>
              <w:rPr>
                <w:rFonts w:ascii="Calibri" w:hAnsi="Calibri"/>
                <w:b/>
                <w:i w:val="0"/>
                <w:color w:val="047857"/>
                <w:sz w:val="18"/>
              </w:rPr>
              <w:t xml:space="preserve"> DÍA 14: 4ta dosis</w:t>
            </w:r>
            <w:r>
              <w:br/>
            </w:r>
            <w:r>
              <w:rPr>
                <w:rFonts w:ascii="Calibri" w:hAnsi="Calibri"/>
                <w:b/>
                <w:i w:val="0"/>
                <w:color w:val="047857"/>
                <w:sz w:val="18"/>
              </w:rPr>
              <w:t xml:space="preserve"> DÍA 28: 5ta dosis (algunos esquemas OMS omiten esta última)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Vía intradérmica (ID) o intramuscular (IM) en deltoides (adultos) o cara anterolateral del muslo (niños).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Tétanos: refuerzo si &gt;5 años sin vacuna. Antibioticoterapia: amoxicilina/ácido clavulánico 7-10 días.</w:t>
            </w:r>
          </w:p>
        </w:tc>
      </w:tr>
    </w:tbl>
    <w:p>
      <w:pPr>
        <w:spacing w:after="80"/>
      </w:pP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6.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Esquema de vacunación.  </w:t>
      </w:r>
      <w:r>
        <w:rPr>
          <w:rFonts w:ascii="Calibri" w:hAnsi="Calibri" w:cs="Calibri"/>
          <w:b w:val="0"/>
          <w:i w:val="0"/>
          <w:color w:val="111827"/>
          <w:sz w:val="20"/>
        </w:rPr>
        <w:t>El esquema Essen se aplica en los días 0, 3, 7, 14 y 28, con vacuna antirrábica de cultivo celular (Verorab, Rabipur). En exposiciones Tipo 3 y 4 se adiciona IGAR (inmunoglobulina antirrábica) el día 0.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6b.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Esquemas alternativos aprobados por la OMS.  </w:t>
      </w:r>
      <w:r>
        <w:rPr>
          <w:rFonts w:ascii="Calibri" w:hAnsi="Calibri" w:cs="Calibri"/>
          <w:b w:val="0"/>
          <w:i w:val="0"/>
          <w:color w:val="111827"/>
          <w:sz w:val="20"/>
        </w:rPr>
        <w:t>Como alternativa al esquema Essen clásico de 5 dosis, la OMS ha aprobado los siguientes esquemas abreviados: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5272"/>
      </w:tblGrid>
      <w:tr>
        <w:tc>
          <w:tcPr>
            <w:tcW w:type="dxa" w:w="226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Esquema</w:t>
            </w:r>
          </w:p>
        </w:tc>
        <w:tc>
          <w:tcPr>
            <w:tcW w:type="dxa" w:w="226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Días</w:t>
            </w:r>
          </w:p>
        </w:tc>
        <w:tc>
          <w:tcPr>
            <w:tcW w:type="dxa" w:w="527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Notas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Essen clásico IM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0, 3, 7, 14, 28 (5 visitas)</w:t>
            </w:r>
          </w:p>
        </w:tc>
        <w:tc>
          <w:tcPr>
            <w:tcW w:type="dxa" w:w="527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1 dosis IM por visita. Adultos en deltoides; niños en muslo anterolateral.</w:t>
            </w:r>
          </w:p>
        </w:tc>
      </w:tr>
      <w:tr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Essen abreviado ID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0, 3, 7 (3 visitas)</w:t>
            </w:r>
          </w:p>
        </w:tc>
        <w:tc>
          <w:tcPr>
            <w:tcW w:type="dxa" w:w="527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 sitios ID por visita. Aprobado OMS 2018. Menor cantidad de vacuna.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IPC (Institut Pasteur de Cambodia) ID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0, 3, 7, 28 (4 visitas)</w:t>
            </w:r>
          </w:p>
        </w:tc>
        <w:tc>
          <w:tcPr>
            <w:tcW w:type="dxa" w:w="527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 sitios ID en cada visita. Eficacia equivalente al Essen clásico.</w:t>
            </w:r>
          </w:p>
        </w:tc>
      </w:tr>
      <w:tr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2-sites ID (Thai Red Cross)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0, 3, 7, 28 (4 visitas)</w:t>
            </w:r>
          </w:p>
        </w:tc>
        <w:tc>
          <w:tcPr>
            <w:tcW w:type="dxa" w:w="527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2 sitios ID. Reduce a 4 visitas.</w:t>
            </w:r>
          </w:p>
        </w:tc>
      </w:tr>
    </w:tbl>
    <w:p>
      <w:pPr>
        <w:spacing w:after="80"/>
      </w:pP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6c.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IGAR — Inmunoglobulina Antirrábica.  </w:t>
      </w:r>
      <w:r>
        <w:rPr>
          <w:rFonts w:ascii="Calibri" w:hAnsi="Calibri" w:cs="Calibri"/>
          <w:b w:val="0"/>
          <w:i w:val="0"/>
          <w:color w:val="111827"/>
          <w:sz w:val="20"/>
        </w:rPr>
        <w:t>La IGAR se aplica únicamente en exposiciones Tipo 3 y 4, en el DÍA 0 (y preferiblemente antes de las 7 horas post-exposición). Dosis: 20 UI/kg. La mitad se infiltra alrededor y dentro de la herida (perilesional), la otra mitad se aplica intramuscular en glúteo o muslo. Si la herida es muy pequeña o en dedos, se infilttra lo posible perilesional y el resto IM. NO se aplica IGAR si el trabajador(a) ya recibió vacuna pre-exposición completa.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OTRAS ZOONOSIS POST-EXPOSICIÓN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7.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Vigilancia.  </w:t>
      </w:r>
      <w:r>
        <w:rPr>
          <w:rFonts w:ascii="Calibri" w:hAnsi="Calibri" w:cs="Calibri"/>
          <w:b w:val="0"/>
          <w:i w:val="0"/>
          <w:color w:val="111827"/>
          <w:sz w:val="20"/>
        </w:rPr>
        <w:t>Además de rabia, el personal con mordedura debe vigilarse por otras zoonosis: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587"/>
        <w:gridCol w:w="3118"/>
        <w:gridCol w:w="3402"/>
      </w:tblGrid>
      <w:tr>
        <w:tc>
          <w:tcPr>
            <w:tcW w:type="dxa" w:w="170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Zoonosis</w:t>
            </w:r>
          </w:p>
        </w:tc>
        <w:tc>
          <w:tcPr>
            <w:tcW w:type="dxa" w:w="1587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Periodo incubación</w:t>
            </w:r>
          </w:p>
        </w:tc>
        <w:tc>
          <w:tcPr>
            <w:tcW w:type="dxa" w:w="311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Signos alerta</w:t>
            </w:r>
          </w:p>
        </w:tc>
        <w:tc>
          <w:tcPr>
            <w:tcW w:type="dxa" w:w="340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Leptospirosis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5-14 días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Fiebre, cefalea, mialgia, ictericia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Doxiciclina 100 mg/12h × 7 días</w:t>
            </w:r>
          </w:p>
        </w:tc>
      </w:tr>
      <w:tr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Toxoplasmosis</w:t>
            </w:r>
          </w:p>
        </w:tc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5-18 días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Adenopatías, fiebre, fatiga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Serología IgM, espiramicina si embarazo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Brucelosis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1-3 semanas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Fiebre ondulante, sudores, artralgias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Serología, rifampicina + doxiciclina</w:t>
            </w:r>
          </w:p>
        </w:tc>
      </w:tr>
      <w:tr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Pasteurelosis</w:t>
            </w:r>
          </w:p>
        </w:tc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24-72 horas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Celulitis, absceso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Amoxicilina/ácido clavulánico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Capnocytophaga</w:t>
            </w:r>
          </w:p>
        </w:tc>
        <w:tc>
          <w:tcPr>
            <w:tcW w:type="dxa" w:w="158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3-7 días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Sepsis, especialmente inmunodeprimidos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Hospitalización, IV ceftriaxona</w:t>
            </w:r>
          </w:p>
        </w:tc>
      </w:tr>
      <w:tr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Tétanos</w:t>
            </w:r>
          </w:p>
        </w:tc>
        <w:tc>
          <w:tcPr>
            <w:tcW w:type="dxa" w:w="158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3-21 días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Trismo, rigidez, opistótonos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Vacuna + inmunoglobulina antitetánica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REGISTRO E INVESTIGACIÓN DE CAUSA RAÍZ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8.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Investigación.  </w:t>
      </w:r>
      <w:r>
        <w:rPr>
          <w:rFonts w:ascii="Calibri" w:hAnsi="Calibri" w:cs="Calibri"/>
          <w:b w:val="0"/>
          <w:i w:val="0"/>
          <w:color w:val="111827"/>
          <w:sz w:val="20"/>
        </w:rPr>
        <w:t>Todo incidente de mordedura se investiga para identificar la causa raíz: falla de sujeción, ausencia de sedación, falta de EPP, defecto de procedimiento, presencia de terceros, etc. La investigación la realiza el Comité SST con apoyo del MV tratante y genera un plan de acción documentado.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9.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Reposo y cobertura.  </w:t>
      </w:r>
      <w:r>
        <w:rPr>
          <w:rFonts w:ascii="Calibri" w:hAnsi="Calibri" w:cs="Calibri"/>
          <w:b w:val="0"/>
          <w:i w:val="0"/>
          <w:color w:val="111827"/>
          <w:sz w:val="20"/>
        </w:rPr>
        <w:t>El trabajador(a) accidentado tiene derecho a reposo médico según orden del centro asistencial del IVSS-PMSSO. La atención médica, medicamentos e indemnización por accidente de trabajo se cubren conforme al Seguro Social Obligatorio y a la LOPCYMAT (arts. 56, 73, 130 y siguientes).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PROHIBICIÓN DE REPRESALIAS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Protección al denunciante.  </w:t>
      </w:r>
      <w:r>
        <w:rPr>
          <w:rFonts w:ascii="Calibri" w:hAnsi="Calibri" w:cs="Calibri"/>
          <w:b w:val="0"/>
          <w:i w:val="0"/>
          <w:color w:val="111827"/>
          <w:sz w:val="20"/>
        </w:rPr>
        <w:t>Conforme al artículo 26 de la LOPCYMAT, queda prohibida cualquier represalia contra el trabajador(a) que reporte una mordedura o exposición. El reporte oportuno es un derecho y un deber, no constituye falta disciplinaria.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IX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DIRECTORIO Y CENTROS DE REFERENCIA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Centros antirrábicos y de referencia.  </w:t>
      </w:r>
      <w:r>
        <w:rPr>
          <w:rFonts w:ascii="Calibri" w:hAnsi="Calibri" w:cs="Calibri"/>
          <w:b w:val="0"/>
          <w:i w:val="0"/>
          <w:color w:val="111827"/>
          <w:sz w:val="20"/>
        </w:rPr>
        <w:t>Ante cualquier exposición ocupacional, el personal será canalizado a los siguientes centros especializados: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685"/>
        <w:gridCol w:w="3005"/>
      </w:tblGrid>
      <w:tr>
        <w:tc>
          <w:tcPr>
            <w:tcW w:type="dxa" w:w="311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Centro</w:t>
            </w:r>
          </w:p>
        </w:tc>
        <w:tc>
          <w:tcPr>
            <w:tcW w:type="dxa" w:w="368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Función</w:t>
            </w:r>
          </w:p>
        </w:tc>
        <w:tc>
          <w:tcPr>
            <w:tcW w:type="dxa" w:w="300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Ubicación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Distrito Sanitario N° 2 — Altos Mirandinos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Aplicación de PEP antirrábica (vacuna + IGAR)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Los Teques, Estado Miranda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Instituto Nacional de Higiene 'Rafael Rangel' (INHRR)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Diagnóstico de rabia por inmunofluorescencia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Caracas — envío de muestras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Centro asistencial del IVSS-PMSSO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Atención de lesiones, antibioticoterapia, reposo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Designado por el PMSSO del trabajador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Hospital 'Domingo Luciani' (El Llanito)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Atención de heridas graves, cirugía plástica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Caracas — referencia nacional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Hospital 'Pérez de León' (Petare)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Atención de mordeduras graves en cara y manos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Caracas — referencia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CICPC — División de Protección Animal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Investigación de animales agresores sin dueño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Sede CICPC Miranda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SASA — Servicio Autónomo de Salud Animal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Reporte de rabia animal, vigilancia epidemiológica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MPPS — sede Caracas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Coordinación SST — LA EMPRESA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Reporte interno, acompañamiento al trabajador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Internos de la empresa</w:t>
            </w:r>
          </w:p>
        </w:tc>
      </w:tr>
    </w:tbl>
    <w:p>
      <w:pPr>
        <w:spacing w:after="80"/>
      </w:pP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Documentación que debe portar el trabajador(a).  </w:t>
      </w:r>
      <w:r>
        <w:rPr>
          <w:rFonts w:ascii="Calibri" w:hAnsi="Calibri" w:cs="Calibri"/>
          <w:b w:val="0"/>
          <w:i w:val="0"/>
          <w:color w:val="111827"/>
          <w:sz w:val="20"/>
        </w:rPr>
        <w:t>Al acudir al centro de referencia, el trabajador(a) debe portar: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Cédula de identidad y carnet del IVSS / PMSSO.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Constancia de trabajo emitida por LA EMPRESA (con cargo y antigüedad).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Formulario de Reporte de Exposición (Anexo B) completado.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Carnet de vacunación antirrábica pre-exposición (si lo posee).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Información sobre el animal mordedor: especie, raza, vacunación, procedencia, estado actual.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ANEXO B — FORMULARIO DE REPORTE DE EXPOSICIÓN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406"/>
      </w:tblGrid>
      <w:tr>
        <w:tc>
          <w:tcPr>
            <w:tcW w:type="dxa" w:w="340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406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Fecha y hora de la exposición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 / ____ / ______  ·  ____:____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Lugar del incidente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Trabajador(a) expuesto(a) / C.I. / Cargo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de exposición (mordedura, arañazo, salpicadura mucosa)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OMS (1, 2, 3, 4)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Localización anatómica de la herida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Descripción de la herida (profundidad, sangrado)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Animal mordedor (especie, raza, edad, sexo)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Procedencia (doméstico vacunado, no vacunado, callejero)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Estado sanitario del animal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Destino del animal (observación, sacrificio, escapó)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Lavado de la herida (duración, antiséptico)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Atención médica recibida (centro, médico)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PEP indicado (vacuna, IGAR, antibiótico, antitetánica)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Investigación causa raíz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Firma del trabajador(a)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Firma del supervisor</w:t>
            </w:r>
          </w:p>
        </w:tc>
        <w:tc>
          <w:tcPr>
            <w:tcW w:type="dxa" w:w="6406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Firma del MV tratante</w:t>
            </w:r>
          </w:p>
        </w:tc>
        <w:tc>
          <w:tcPr>
            <w:tcW w:type="dxa" w:w="6406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</w:tbl>
    <w:p>
      <w:pPr>
        <w:spacing w:after="80"/>
      </w:pPr>
    </w:p>
    <w:p>
      <w:pPr>
        <w:spacing w:before="160" w:after="120"/>
        <w:pBdr>
          <w:bottom w:val="single" w:sz="8" w:space="1" w:color="0F766E"/>
        </w:pBdr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CARTA DE RECEPCIÓN Y ACEPTACIÓN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_____________________________________________, titular de la cédula de identidad N° V-___________________, en mi condición de trabajador(a) de GRUPO CAVAL 1003, C.A. (ALIKA PETS), declaro por medio de la presente que: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PRIMERO:  </w:t>
      </w:r>
      <w:r>
        <w:rPr>
          <w:rFonts w:ascii="Calibri" w:hAnsi="Calibri" w:cs="Calibri"/>
          <w:b w:val="0"/>
          <w:i w:val="0"/>
          <w:color w:val="111827"/>
          <w:sz w:val="20"/>
        </w:rPr>
        <w:t>He recibido copia íntegra y legible del documento titulado «Protocolo de Mordeduras y Zoonosis Post-Exposición», así como las explicaciones verbales necesarias para su correcta comprensión.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SEGUNDO:  </w:t>
      </w:r>
      <w:r>
        <w:rPr>
          <w:rFonts w:ascii="Calibri" w:hAnsi="Calibri" w:cs="Calibri"/>
          <w:b w:val="0"/>
          <w:i w:val="0"/>
          <w:color w:val="111827"/>
          <w:sz w:val="20"/>
        </w:rPr>
        <w:t>He leído en su totalidad el contenido del mencionado documento, comprendo mis obligaciones, prohibiciones y deberes, y me comprometo a cumplirlos fielmente durante toda la vigencia de mi relación laboral con la empresa.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TERCERO:  </w:t>
      </w:r>
      <w:r>
        <w:rPr>
          <w:rFonts w:ascii="Calibri" w:hAnsi="Calibri" w:cs="Calibri"/>
          <w:b w:val="0"/>
          <w:i w:val="0"/>
          <w:color w:val="111827"/>
          <w:sz w:val="20"/>
        </w:rPr>
        <w:t>Entiendo que el incumplimiento de las disposiciones aquí contenidas podrá dar lugar a las sanciones disciplinarias previstas en el Reglamento Interno de Trabajo y, según la gravedad, a la terminación de la relación laboral por causa justificada conforme al artículo 79 de la Ley Orgánica del Trabajo, los Trabajadores y las Trabajadoras (LOTTT).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CUARTO:  </w:t>
      </w:r>
      <w:r>
        <w:rPr>
          <w:rFonts w:ascii="Calibri" w:hAnsi="Calibri" w:cs="Calibri"/>
          <w:b w:val="0"/>
          <w:i w:val="0"/>
          <w:color w:val="111827"/>
          <w:sz w:val="20"/>
        </w:rPr>
        <w:t>Acepto que la presente firma constituye prueba fehaciente de la entrega y recepción del documento, renunciando a alegar desconocimiento de su contenido.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 w:val="0"/>
          <w:i w:val="0"/>
          <w:sz w:val="12"/>
        </w:rPr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fe de lo cual firmo la presente carta 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p>
      <w:pPr>
        <w:spacing w:before="400"/>
        <w:jc w:val="center"/>
      </w:pPr>
      <w:r>
        <w:rPr>
          <w:rFonts w:ascii="Calibri" w:hAnsi="Calibri" w:cs="Calibri"/>
          <w:b w:val="0"/>
          <w:i/>
          <w:color w:val="9098A8"/>
          <w:sz w:val="16"/>
        </w:rPr>
        <w:t>Trabajador: Valeria Katiuska Rangel Pérez · C.I. V-27.279.527 · Cargo: AUXILIAR VETERINARIO(A)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Protocolo Veterinario  ·  v3.0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