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CÓDIGO DE CONDUCTA</w:t>
            </w:r>
          </w:p>
          <w:p>
            <w:pPr>
              <w:spacing w:before="0"/>
              <w:jc w:val="right"/>
            </w:pPr>
            <w:r>
              <w:rPr>
                <w:rFonts w:ascii="Calibri" w:hAnsi="Calibri" w:cs="Calibri"/>
                <w:b w:val="0"/>
                <w:i/>
                <w:color w:val="556575"/>
                <w:sz w:val="18"/>
              </w:rPr>
              <w:t>Ética e Integridad</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CÓDIGO DE CONDUCTA Y ÉTICA EMPRESARIAL</w:t>
      </w:r>
    </w:p>
    <w:p>
      <w:pPr>
        <w:spacing w:before="0" w:after="200"/>
        <w:pBdr>
          <w:bottom w:val="single" w:sz="10" w:space="1" w:color="0F766E"/>
        </w:pBdr>
      </w:pPr>
    </w:p>
    <w:p>
      <w:pPr>
        <w:keepNext/>
        <w:spacing w:before="120" w:after="40"/>
        <w:jc w:val="left"/>
      </w:pPr>
      <w:r>
        <w:rPr>
          <w:rFonts w:ascii="Calibri" w:hAnsi="Calibri" w:cs="Calibri"/>
          <w:b/>
          <w:i w:val="0"/>
          <w:color w:val="0F766E"/>
          <w:sz w:val="22"/>
        </w:rPr>
        <w:t>CARTA DE LA DIRECCIÓN</w:t>
      </w:r>
    </w:p>
    <w:p>
      <w:pPr>
        <w:spacing w:before="0" w:after="80" w:line="312" w:lineRule="auto"/>
        <w:jc w:val="left"/>
      </w:pPr>
      <w:r>
        <w:rPr>
          <w:rFonts w:ascii="Calibri" w:hAnsi="Calibri" w:cs="Calibri"/>
          <w:b w:val="0"/>
          <w:i w:val="0"/>
          <w:sz w:val="20"/>
        </w:rPr>
        <w:t>Estimado(a) colaborador(a):</w:t>
      </w:r>
    </w:p>
    <w:p>
      <w:pPr>
        <w:spacing w:before="0" w:after="80" w:line="312" w:lineRule="auto"/>
        <w:jc w:val="both"/>
      </w:pPr>
      <w:r>
        <w:rPr>
          <w:rFonts w:ascii="Calibri" w:hAnsi="Calibri" w:cs="Calibri"/>
          <w:b w:val="0"/>
          <w:i w:val="0"/>
          <w:sz w:val="20"/>
        </w:rPr>
        <w:t>Es para mí un honor darles la bienvenida a GRUPO CAVAL 1003, C.A., empresa que opera bajo la marca comercial ALIKA PETS, dedicada a la atención clínica veterinaria, la comercialización de productos para mascotas y los servicios de peluquería canina. Desde nuestra fundación hemos asumido el compromiso de prestar un servicio de excelencia, basado en el respeto por la vida animal, el trato digno a nuestros clientes y el profesionalismo de nuestro equipo humano.</w:t>
      </w:r>
    </w:p>
    <w:p>
      <w:pPr>
        <w:spacing w:before="0" w:after="80" w:line="312" w:lineRule="auto"/>
        <w:jc w:val="both"/>
      </w:pPr>
      <w:r>
        <w:rPr>
          <w:rFonts w:ascii="Calibri" w:hAnsi="Calibri" w:cs="Calibri"/>
          <w:b w:val="0"/>
          <w:i w:val="0"/>
          <w:sz w:val="20"/>
        </w:rPr>
        <w:t>El presente Código de Conducta establece los principios éticos y las reglas de comportamiento que deben guiar la actuación de todas las personas que laboran en nuestra empresa. Su cumplimiento no es opcional: constituye la base sobre la cual se construye la confianza de nuestros clientes, proveedores y de la sociedad en general. Lo que aquí se establece refleja nuestros valores: respeto, integridad, compasión animal, transparencia y compromiso.</w:t>
      </w:r>
    </w:p>
    <w:p>
      <w:pPr>
        <w:spacing w:before="0" w:after="80" w:line="312" w:lineRule="auto"/>
        <w:jc w:val="both"/>
      </w:pPr>
      <w:r>
        <w:rPr>
          <w:rFonts w:ascii="Calibri" w:hAnsi="Calibri" w:cs="Calibri"/>
          <w:b w:val="0"/>
          <w:i w:val="0"/>
          <w:sz w:val="20"/>
        </w:rPr>
        <w:t>Solicito a cada uno(a) de ustedes leer detenidamente este documento, comprenderlo y hacerlo suyo. Cualquier duda será aclarada por la Dirección de Recursos Humanos. La firma de recepción al final del documento tiene carácter de aceptación formal.</w:t>
      </w:r>
    </w:p>
    <w:p>
      <w:pPr>
        <w:spacing w:before="0" w:after="200" w:line="312" w:lineRule="auto"/>
        <w:jc w:val="both"/>
      </w:pPr>
      <w:r>
        <w:rPr>
          <w:rFonts w:ascii="Calibri" w:hAnsi="Calibri" w:cs="Calibri"/>
          <w:b w:val="0"/>
          <w:i w:val="0"/>
          <w:sz w:val="20"/>
        </w:rPr>
        <w:t>Atentamente,</w:t>
      </w:r>
    </w:p>
    <w:tbl>
      <w:tblPr>
        <w:tblW w:type="auto" w:w="0"/>
        <w:jc w:val="center"/>
        <w:tblLayout w:type="fixed"/>
        <w:tblLook w:firstColumn="1" w:firstRow="1" w:lastColumn="0" w:lastRow="0" w:noHBand="0" w:noVBand="1" w:val="04A0"/>
      </w:tblPr>
      <w:tblGrid>
        <w:gridCol w:w="9411"/>
      </w:tblGrid>
      <w:tr>
        <w:tc>
          <w:tcPr>
            <w:tcW w:type="dxa" w:w="9411"/>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PRINCIPIOS Y VALORES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El presente Código de Conducta tiene por objeto establecer los principios éticos y las reglas de comportamiento aplicables a todo el personal de LA EMPRESA, independientemente del cargo, jerarquía o modalidad de contratación.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Valores institucionales.  </w:t>
      </w:r>
      <w:r>
        <w:rPr>
          <w:rFonts w:ascii="Calibri" w:hAnsi="Calibri" w:cs="Calibri"/>
          <w:b w:val="0"/>
          <w:i w:val="0"/>
          <w:color w:val="111827"/>
          <w:sz w:val="20"/>
        </w:rPr>
        <w:t>Son valores fundamentales de LA EMPRESA: el respeto a la vida animal, la integridad personal, la honestidad, la transparencia, la responsabilidad, la calidad en el servicio, el trabajo en equipo, la confidencialidad, la no discriminación y la mejora continua.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CONDUCTA CON LOS CLIENTES Y SUS MASCOTAS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Atención al cliente.  </w:t>
      </w:r>
      <w:r>
        <w:rPr>
          <w:rFonts w:ascii="Calibri" w:hAnsi="Calibri" w:cs="Calibri"/>
          <w:b w:val="0"/>
          <w:i w:val="0"/>
          <w:color w:val="111827"/>
          <w:sz w:val="20"/>
        </w:rPr>
        <w:t>Todo cliente será atendido con cortesía, respeto y prontitud, sin discriminación alguna. Se brindará información clara, veraz y oportuna sobre los servicios, costos, alternativas terapéuticas y pronósticos. La negativa injustificada de atención constituye falta grave.</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Bienestar animal.  </w:t>
      </w:r>
      <w:r>
        <w:rPr>
          <w:rFonts w:ascii="Calibri" w:hAnsi="Calibri" w:cs="Calibri"/>
          <w:b w:val="0"/>
          <w:i w:val="0"/>
          <w:color w:val="111827"/>
          <w:sz w:val="20"/>
        </w:rPr>
        <w:t>Todo animal bajo atención será tratado con compasión y respeto. Se aplicarán los Cinco Libertades del bienestar animal: libre de hambre y sed; libre de incomodidades; libre de dolor, lesiones o enfermedad; libre de expresar conductas naturales; y libre de miedo y estrés. El maltrato animal deliberado constituye falta muy grave y será causal de despido conforme al artículo 79 de la LOTTT y la Ley para la Protección de la Fauna Doméstica Libre y en Cautiverio.</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Transparencia en honorarios.  </w:t>
      </w:r>
      <w:r>
        <w:rPr>
          <w:rFonts w:ascii="Calibri" w:hAnsi="Calibri" w:cs="Calibri"/>
          <w:b w:val="0"/>
          <w:i w:val="0"/>
          <w:color w:val="111827"/>
          <w:sz w:val="20"/>
        </w:rPr>
        <w:t>Los honorarios y precios deberán informarse al cliente antes de iniciar cualquier servicio, conforme al artículo 50 de la Ley para la Defensa de las Personas en el Acceso a Bienes y Servicios (INDEPABIS). Queda prohibido cobrar por servicios no prestados o inflar facturación.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CONDUCTA ENTRE COMPAÑEROS DE TRABAJO</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Trato respetuoso.  </w:t>
      </w:r>
      <w:r>
        <w:rPr>
          <w:rFonts w:ascii="Calibri" w:hAnsi="Calibri" w:cs="Calibri"/>
          <w:b w:val="0"/>
          <w:i w:val="0"/>
          <w:color w:val="111827"/>
          <w:sz w:val="20"/>
        </w:rPr>
        <w:t>Las relaciones entre compañeros se basarán en el respeto, la cortesía y la colaboración. Se prohíbe toda forma de violencia física, verbal, psicológica, exclusiones discriminatorias, burlas y rumores que afecten el clima laboral.</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Acoso sexual y laboral.  </w:t>
      </w:r>
      <w:r>
        <w:rPr>
          <w:rFonts w:ascii="Calibri" w:hAnsi="Calibri" w:cs="Calibri"/>
          <w:b w:val="0"/>
          <w:i w:val="0"/>
          <w:color w:val="111827"/>
          <w:sz w:val="20"/>
        </w:rPr>
        <w:t>Queda terminantemente prohibido el acoso sexual y el acoso laboral en cualquiera de sus formas (Ley Especial para la Dignificación de la Mujer Trabajadora y LOPCYMAT art. 23). Todo reporte será atendido con confidencialidad, sin represalias, y dará lugar a investigación inmediata por la Gerencia y el Comité SST.</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RELACIÓN CON PROVEEDORES Y COMPETENCIA</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Selección de proveedores.  </w:t>
      </w:r>
      <w:r>
        <w:rPr>
          <w:rFonts w:ascii="Calibri" w:hAnsi="Calibri" w:cs="Calibri"/>
          <w:b w:val="0"/>
          <w:i w:val="0"/>
          <w:color w:val="111827"/>
          <w:sz w:val="20"/>
        </w:rPr>
        <w:t>La selección de proveedores se realizará con base en criterios objetivos de calidad, precio, oportunidad y trayectoria. Queda prohibido recibir regalos, comisiones o ventajas de proveedores o clientes que comprometan la imparcialidad de las decisiones comerciales.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Competencia leal.  </w:t>
      </w:r>
      <w:r>
        <w:rPr>
          <w:rFonts w:ascii="Calibri" w:hAnsi="Calibri" w:cs="Calibri"/>
          <w:b w:val="0"/>
          <w:i w:val="0"/>
          <w:color w:val="111827"/>
          <w:sz w:val="20"/>
        </w:rPr>
        <w:t>LA EMPRESA y su personal observarán las normas de competencia leal. Queda prohibido desprestigiar a competidores mediante afirmaciones falsas, así como obtener información confidencial de la competencia por medios indebidos.</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CONFLICTOS DE INTERÉS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Definición.  </w:t>
      </w:r>
      <w:r>
        <w:rPr>
          <w:rFonts w:ascii="Calibri" w:hAnsi="Calibri" w:cs="Calibri"/>
          <w:b w:val="0"/>
          <w:i w:val="0"/>
          <w:color w:val="111827"/>
          <w:sz w:val="20"/>
        </w:rPr>
        <w:t>Existe conflicto de interés cuando los intereses personales del trabajador(a) — directos o indirectos — se oponen o pudieran oponerse a los intereses de LA EMPRESA, comprometiendo la imparcialidad de sus decisiones.</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Deber de declaración.  </w:t>
      </w:r>
      <w:r>
        <w:rPr>
          <w:rFonts w:ascii="Calibri" w:hAnsi="Calibri" w:cs="Calibri"/>
          <w:b w:val="0"/>
          <w:i w:val="0"/>
          <w:color w:val="111827"/>
          <w:sz w:val="20"/>
        </w:rPr>
        <w:t>Todo trabajador(a) deberá declarar por escrito ante la Gerencia cualquier situación que pudiera constituir conflicto de interés: vínculos familiares con proveedores o competidores, participación accionaria en empresas relacionadas, prestación de servicios a clientes fuera del horario laboral, recibimiento de regalos o atenciones de terceros.</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Actividades externas.  </w:t>
      </w:r>
      <w:r>
        <w:rPr>
          <w:rFonts w:ascii="Calibri" w:hAnsi="Calibri" w:cs="Calibri"/>
          <w:b w:val="0"/>
          <w:i w:val="0"/>
          <w:color w:val="111827"/>
          <w:sz w:val="20"/>
        </w:rPr>
        <w:t>El personal médico veterinario y auxiliar veterinario deberá abstenerse de atender privadamente a clientes de LA EMPRESA fuera del horario laboral, así como de derivar pacientes a consultorios externos sin autorización. El incumplimiento constituye falta grave.</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POLÍTICA ANTI-SOBORNO Y ANTI-CORRUPCIÓN</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Prohibición absoluta.  </w:t>
      </w:r>
      <w:r>
        <w:rPr>
          <w:rFonts w:ascii="Calibri" w:hAnsi="Calibri" w:cs="Calibri"/>
          <w:b w:val="0"/>
          <w:i w:val="0"/>
          <w:color w:val="111827"/>
          <w:sz w:val="20"/>
        </w:rPr>
        <w:t>Queda terminantemente prohibido a todo el personal ofrecer, prometer, dar, aceptar o solicitar, directa o indirectamente, dinero, regalos, favores o cualquier ventaja a funcionarios públicos, clientes, proveedores o terceros para obtener o retainner negocios o ventajas indebidas. Esta prohibición se extiende a familiares y personas interpuestas.</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Regalos y atenciones.  </w:t>
      </w:r>
      <w:r>
        <w:rPr>
          <w:rFonts w:ascii="Calibri" w:hAnsi="Calibri" w:cs="Calibri"/>
          <w:b w:val="0"/>
          <w:i w:val="0"/>
          <w:color w:val="111827"/>
          <w:sz w:val="20"/>
        </w:rPr>
        <w:t>Solo se aceptarán regalos de cortesía de valor simbólico (menos de cincuenta dólares estadounidenses o su equivalente) y que no comprometan la imparcialidad del trabajador(a). Cualquier regalo que exceda este monto deberá ser rechazado y comunicado a la Gerencia, quien decidirá su destino.</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w:t>
      </w:r>
      <w:r>
        <w:rPr>
          <w:rFonts w:ascii="Calibri" w:hAnsi="Calibri" w:cs="Calibri"/>
          <w:b w:val="0"/>
          <w:i w:val="0"/>
          <w:color w:val="111827"/>
          <w:sz w:val="20"/>
        </w:rPr>
        <w:t>El incumplimiento de la política anti-soborno constituye falta muy grave y será causal de despido justificado conforme al artículo 79 de la LOTTT, sin perjuicio de las acciones penales y civiles a que hubiere lugar, conforme a la Convención de las Naciones Unidas contra la Corrupción y la legislación venezolana.</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PROTOCOLO ANTI-SOBORNO — RECORDATORIO OBLIGATORIO</w:t>
            </w:r>
            <w:r>
              <w:br/>
            </w:r>
            <w:r>
              <w:rPr>
                <w:rFonts w:ascii="Calibri" w:hAnsi="Calibri"/>
                <w:b w:val="0"/>
                <w:i w:val="0"/>
                <w:color w:val="111827"/>
                <w:sz w:val="18"/>
              </w:rPr>
              <w:t>• Todo regalo, invitación o atención que exceda los USD 50 debe ser DECLARADO por escrito a la Gerencia.</w:t>
            </w:r>
            <w:r>
              <w:br/>
            </w:r>
            <w:r>
              <w:rPr>
                <w:rFonts w:ascii="Calibri" w:hAnsi="Calibri"/>
                <w:b w:val="0"/>
                <w:i w:val="0"/>
                <w:color w:val="111827"/>
                <w:sz w:val="18"/>
              </w:rPr>
              <w:t>• Está PROHÍBIDO ofrecer dinero o ventajas a funcionarios del SENAC, INDEPABIS, Inspectoría del Trabajo, IVSS, INCES, FAOV, Colegio Médico Veterinario o cualquier autoridad.</w:t>
            </w:r>
            <w:r>
              <w:br/>
            </w:r>
            <w:r>
              <w:rPr>
                <w:rFonts w:ascii="Calibri" w:hAnsi="Calibri"/>
                <w:b w:val="0"/>
                <w:i w:val="0"/>
                <w:color w:val="111827"/>
                <w:sz w:val="18"/>
              </w:rPr>
              <w:t>• Todo acto de corrupción detectado debe ser reportado en un máximo de 24 horas a la Directora Gerente.</w:t>
            </w:r>
            <w:r>
              <w:br/>
            </w:r>
            <w:r>
              <w:rPr>
                <w:rFonts w:ascii="Calibri" w:hAnsi="Calibri"/>
                <w:b w:val="0"/>
                <w:i w:val="0"/>
                <w:color w:val="111827"/>
                <w:sz w:val="18"/>
              </w:rPr>
              <w:t>• El reporte de buena fe no generará represalias (LOPCYMAT art. 26).</w:t>
            </w:r>
          </w:p>
        </w:tc>
      </w:tr>
    </w:tbl>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CONFIDENCIALIDAD Y PROTECCIÓN DE DATOS</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 de reserva.  </w:t>
      </w:r>
      <w:r>
        <w:rPr>
          <w:rFonts w:ascii="Calibri" w:hAnsi="Calibri" w:cs="Calibri"/>
          <w:b w:val="0"/>
          <w:i w:val="0"/>
          <w:color w:val="111827"/>
          <w:sz w:val="20"/>
        </w:rPr>
        <w:t>Todo trabajador(a) está obligado a guardar reserva sobre la información técnica, comercial, financiera y operativa de LA EMPRESA, así como sobre los datos de clientes, proveedores, compañeros y, especialmente, sobre las historias clínicas de los pacientes veterinarios, conforme a la LOPDP y la Ley de Ejercicio de la Medicina Veterinaria (art. 23).</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Duración.  </w:t>
      </w:r>
      <w:r>
        <w:rPr>
          <w:rFonts w:ascii="Calibri" w:hAnsi="Calibri" w:cs="Calibri"/>
          <w:b w:val="0"/>
          <w:i w:val="0"/>
          <w:color w:val="111827"/>
          <w:sz w:val="20"/>
        </w:rPr>
        <w:t>El deber de confidencialidad se mantiene durante la relación laboral y se extiende por cinco (5) años después de finalizada, conforme a la Política de Confidencialidad de LA EMPRESA.</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USO DE REDES SOCIALES</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Principios.  </w:t>
      </w:r>
      <w:r>
        <w:rPr>
          <w:rFonts w:ascii="Calibri" w:hAnsi="Calibri" w:cs="Calibri"/>
          <w:b w:val="0"/>
          <w:i w:val="0"/>
          <w:color w:val="111827"/>
          <w:sz w:val="20"/>
        </w:rPr>
        <w:t>El uso de redes sociales por parte del personal se regirá por la Política de Uso de Redes Sociales de LA EMPRESA. En resumen: no se publicará contenido que afecte la imagen de la empresa, no se revelará información confidencial, no se publicarán fotos de mascotas sin consentimiento del propietario, y no se publicarán opiniones sobre incidentes antes del comunicado oficial.</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PROTECCIÓN A PERSONAS VULNERABLES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Principio de protección.  </w:t>
      </w:r>
      <w:r>
        <w:rPr>
          <w:rFonts w:ascii="Calibri" w:hAnsi="Calibri" w:cs="Calibri"/>
          <w:b w:val="0"/>
          <w:i w:val="0"/>
          <w:color w:val="111827"/>
          <w:sz w:val="20"/>
        </w:rPr>
        <w:t>LA EMPRESA velará por un trato preferente a mujeres embarazadas, personas con discapacidad, adultos mayores, adolescentes trabajadores (cuando aplique conforme a la Ley del Trabajo de los y las Adolescentes) y cualquier persona en condición de vulnerabilidad, conforme a la Constitución, la LOPCYMAT y la Ley Especial para la Dignificación de la Mujer Trabajadora.</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Mujeres embarazadas y en lactancia.  </w:t>
      </w:r>
      <w:r>
        <w:rPr>
          <w:rFonts w:ascii="Calibri" w:hAnsi="Calibri" w:cs="Calibri"/>
          <w:b w:val="0"/>
          <w:i w:val="0"/>
          <w:color w:val="111827"/>
          <w:sz w:val="20"/>
        </w:rPr>
        <w:t>Las trabajadoras embarazadas o en período de lactancia no desempeñarán labores que impliquen exposición a radiaciones ionizantes, anestésicos volátiles, quimioterapia o zoonosis de elevado riesgo, conforme al artículo 78 de la LOPCYMAT y al protocolo de Bioseguridad Veterinaria. Gozarán del descanso pre y postnatal previsto en la Ley para la Protección de la Familia, la Maternidad y la Paternidad.</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CANAL DE DENUNCIA ÉTICA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Canal de denuncia.  </w:t>
      </w:r>
      <w:r>
        <w:rPr>
          <w:rFonts w:ascii="Calibri" w:hAnsi="Calibri" w:cs="Calibri"/>
          <w:b w:val="0"/>
          <w:i w:val="0"/>
          <w:color w:val="111827"/>
          <w:sz w:val="20"/>
        </w:rPr>
        <w:t>Cualquier trabajador(a), cliente o proveedor podrá denunciar conductas contrarias al presente Código a través de los siguientes canales: (i) reporte verbal o escrito a la Directora Gerente; (ii) buzón físico ubicado en la recepción; (iii) correo electrónico habilitado por LA EMPRESA para denuncias; (iv) Comité de Seguridad y Salud Laboral.</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Confidencialidad y anti-represalias.  </w:t>
      </w:r>
      <w:r>
        <w:rPr>
          <w:rFonts w:ascii="Calibri" w:hAnsi="Calibri" w:cs="Calibri"/>
          <w:b w:val="0"/>
          <w:i w:val="0"/>
          <w:color w:val="111827"/>
          <w:sz w:val="20"/>
        </w:rPr>
        <w:t>Toda denuncia será tratada con estricta confidencialidad. Queda prohibida cualquier forma de represalia contra quien denuncie de buena fe una conducta indebida, conforme al artículo 26 de la LOPCYMAT. La denuncia maliciosa o falsa constituye falta grave.</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SANCIONES POR INCUMPLIMIENTO</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Régimen aplicable.  </w:t>
      </w:r>
      <w:r>
        <w:rPr>
          <w:rFonts w:ascii="Calibri" w:hAnsi="Calibri" w:cs="Calibri"/>
          <w:b w:val="0"/>
          <w:i w:val="0"/>
          <w:color w:val="111827"/>
          <w:sz w:val="20"/>
        </w:rPr>
        <w:t>El incumplimiento del presente Código será sancionado conforme al Reglamento Interno de Trabajo (Capítulos VII y VIII) y al artículo 79 de la LOTTT. Las infracciones graves o muy graves podrán ser causal de despido justificado sin derecho a indemnización sustitutiva de preaviso ni de antigüedad adicional.</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«Código de Conducta y Ética Empresarial»,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Cinthia Paola Hernández Padilla · C.I. V-25.562.814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