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PROCEDIMIENTO DE REPORTE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Art. 73 LOPCYMAT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PROCEDIMIENTO DE REPORTE DE INCIDENTES Y ACCIDENTES DE TRABAJO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ALCANCE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uniforme para el reporte, investigación y seguimiento de los incidentes y accidentes de trabajo ocurridos en las instalaciones de LA EMPRESA o en Misión de trabajo, conforme al artículo 73 de la LOPCYMAT y la Norma Técnica NT-01-2008.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Alcance.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 de LA EMPRESA, sea fijo, contratado, eventual, de prueba o pasante, así como a visitantes, proveedores y contratistas presentes en el centro de trabajo.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DEFINICIONES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Casi-accidente (near miss):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NO causó lesión pero que pudo haberla causado.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Incidente: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leve sin incapacidad.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con incapacidad temporal o permanente, o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ocurrido en el trayecto entre el domicilio del trabajador(a) y el centro de trabajo, y viceversa (Art. 69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contraída por exposición a factores de riesgo en el trabajo (Art. 70 LOPCYMAT y Lista Oficial de Enfermedades Ocupacionales).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que causa la muerte del trabajador(a), o lesiones que ponen en peligro la vida, o amputación, o pérdida de un sentido, o invalidez permanente (Art. 73 LOPCYMAT).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Lista de enfermedades ocupacionales relevantes.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70 de la LOPCYMAT y la Lista Oficial de Enfermedades Ocupacionales, en LA EMPRESA se vigila especialmente: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268"/>
        <w:gridCol w:w="3685"/>
        <w:gridCol w:w="3005"/>
      </w:tblGrid>
      <w:tr>
        <w:tc>
          <w:tcPr>
            <w:tcW w:type="dxa" w:w="7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CIE-10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Enfermedad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Causa / Agente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Cargo expuesto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A82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rábico (mordedura)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Leptospira (orina animales)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B58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Toxoplasma gondii (felinos)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A23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Brucella (fluidos, abortos)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B35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Dermatofitosis (tiña)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dermatofitos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B86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Sarcoptes scabiei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L24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Dermatitis irritativa de contacto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Desinfectantes, champús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Aux Vet, Groomer, Encargado Tienda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J45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Asma ocupacional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Aerosoles, pelos, caspa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M75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musculoesqueléticos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Posturas forzadas, movimientos repetitivos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Z57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Exposición a radiaciones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Rayos X veterinarios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F43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por estrés laboral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Carga mental, guardias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Gerente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A36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Tétanos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Clostridium tetani (heridas)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OBLIGATORIEDAD DEL REPORTE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OBLIGACIÓN LEGAL — ARTÍCULO 73 LOPCYMAT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Todo accidente de trabajo debe ser reportado formalmente por LA EMPRESA ante el IVSS y ante INPSASEL dentro de las DOS (2) HORAS siguientes al evento cuando se trate de accidente grave; y dentro del primer día hábil siguiente para los demás accidentes. El incumplimiento genera responsabilidad administrativa, civil y penal para LA EMPRESA y para los directivos responsables.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Responsabilidades específicas.  </w:t>
      </w:r>
      <w:r>
        <w:rPr>
          <w:rFonts w:ascii="Calibri" w:hAnsi="Calibri" w:cs="Calibri"/>
          <w:b w:val="0"/>
          <w:i w:val="0"/>
          <w:color w:val="111827"/>
          <w:sz w:val="20"/>
        </w:rPr>
        <w:t>Las responsabilidades en materia de reporte se distribuyen así: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257"/>
      </w:tblGrid>
      <w:tr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25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inmediatamente cualquier incidente o condición insegura a su supervisor.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Supervisor directo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Recibir el reporte, completar el formulario y notificar a la Gerencia y al Comité SST.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 (según caso)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Brindar atención primaria, evaluar gravedad, indicar traslado.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Investigar causa raíz, elaborar plan de acción, dar seguimiento al cierre.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Directora Gerente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formalmente al IVSS e INPSASEL dentro de los plazos legales; firmar reportes.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Representante Legal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Firmar reportes oficiales y asumir representación legal ante autoridades.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Delegado(s) de Prevención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Participar en la investigación, velar por derechos del trabajador(a).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CANALES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Canales disponibles.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puede reportar el incidente a través de los siguientes canales, en orden de preferencia: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1:  </w:t>
      </w:r>
      <w:r>
        <w:rPr>
          <w:rFonts w:ascii="Calibri" w:hAnsi="Calibri" w:cs="Calibri"/>
          <w:b w:val="0"/>
          <w:i w:val="0"/>
          <w:color w:val="111827"/>
          <w:sz w:val="20"/>
        </w:rPr>
        <w:t>Verbal inmediata + escrita en formulario (Anexo C) ante el supervisor directo.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2:  </w:t>
      </w:r>
      <w:r>
        <w:rPr>
          <w:rFonts w:ascii="Calibri" w:hAnsi="Calibri" w:cs="Calibri"/>
          <w:b w:val="0"/>
          <w:i w:val="0"/>
          <w:color w:val="111827"/>
          <w:sz w:val="20"/>
        </w:rPr>
        <w:t>Comité de Seguridad y Salud Laboral (SST).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3:  </w:t>
      </w:r>
      <w:r>
        <w:rPr>
          <w:rFonts w:ascii="Calibri" w:hAnsi="Calibri" w:cs="Calibri"/>
          <w:b w:val="0"/>
          <w:i w:val="0"/>
          <w:color w:val="111827"/>
          <w:sz w:val="20"/>
        </w:rPr>
        <w:t>Directora Gerente o Representante Legal.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4:  </w:t>
      </w:r>
      <w:r>
        <w:rPr>
          <w:rFonts w:ascii="Calibri" w:hAnsi="Calibri" w:cs="Calibri"/>
          <w:b w:val="0"/>
          <w:i w:val="0"/>
          <w:color w:val="111827"/>
          <w:sz w:val="20"/>
        </w:rPr>
        <w:t>Buzón físico de denuncia ubicado en recepción.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 de incidentes.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Los incidentes se clasifican en las siguientes categorías para fines de reporte: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6803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Categoría</w:t>
            </w:r>
          </w:p>
        </w:tc>
        <w:tc>
          <w:tcPr>
            <w:tcW w:type="dxa" w:w="680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leve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sin incapacidad, pequeño corte sin sutura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con incapacidad temporal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que requiere reposo 3 días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en cara/mano con riesgo funcional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Fallecimiento del trabajador(a)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Casi-mordedura, caída sin lesión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Dermatitis por químicos, leptospirosis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Caída en ruta al trabajo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material / daño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Daño a equipo, derrame químico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DE REPORTE — 9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Pasos.  </w:t>
      </w:r>
      <w:r>
        <w:rPr>
          <w:rFonts w:ascii="Calibri" w:hAnsi="Calibri" w:cs="Calibri"/>
          <w:b w:val="0"/>
          <w:i w:val="0"/>
          <w:color w:val="111827"/>
          <w:sz w:val="20"/>
        </w:rPr>
        <w:t>El procedimiento de reporte se compone de nueve (9) pasos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inmediatamente al trabajador(a): primeros auxilios, traslado a centro asistencial del IVSS-PMSSO si es necesario.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verbalmente al supervisor directo en un máximo de 30 minutos.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el Formulario de Reporte de Incidente (Anexo C) dentro de las 2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formalmente al IVSS e INPSASEL (accidente grave: 2 horas; otros: 1 día hábil).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Preservar la escena del accidente para la investigación (fotos, testigos).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investigación de causa raíz (5 por qué, análisis de barreras).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Elaborar plan de acción correctivo y preventivo con responsables y plazos.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Hacer seguimiento al plan de acción hasta su cierre.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9:  </w:t>
      </w:r>
      <w:r>
        <w:rPr>
          <w:rFonts w:ascii="Calibri" w:hAnsi="Calibri" w:cs="Calibri"/>
          <w:b w:val="0"/>
          <w:i w:val="0"/>
          <w:color w:val="111827"/>
          <w:sz w:val="20"/>
        </w:rPr>
        <w:t>Cerrar el caso y archivar el expediente por 10 años (Art. 183 LOTTT).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PLAZOS LEGALES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Tabla de plazos.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y la LOTTT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948"/>
        <w:gridCol w:w="3175"/>
      </w:tblGrid>
      <w:tr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evento</w:t>
            </w:r>
          </w:p>
        </w:tc>
        <w:tc>
          <w:tcPr>
            <w:tcW w:type="dxa" w:w="294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Ante quién</w:t>
            </w:r>
          </w:p>
        </w:tc>
        <w:tc>
          <w:tcPr>
            <w:tcW w:type="dxa" w:w="317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Plazo máximo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 (Art. 73 LOPCYMAT)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 HORAS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común con incapacidad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 días hábiles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 + CICPC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Inmediato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(casi-accidente)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Registro interno + Comité SST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COMITÉ DE SEGURIDAD Y SALUD LABORAL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Integración.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46 de la LOPCYMAT, LA EMPRESA mantiene un Comité de Seguridad y Salud Laboral paritario, integrado por representantes del empleador y de los trabajadores, elegidos conforme al Reglamento de la LOPCYMAT. El Comité se reúne mensualmente y participa en la investigación de todo accidente grave.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Funciones del Comité.  </w:t>
      </w:r>
      <w:r>
        <w:rPr>
          <w:rFonts w:ascii="Calibri" w:hAnsi="Calibri" w:cs="Calibri"/>
          <w:b w:val="0"/>
          <w:i w:val="0"/>
          <w:color w:val="111827"/>
          <w:sz w:val="20"/>
        </w:rPr>
        <w:t>Son funciones del Comité SST: vigilar el cumplimiento del Programa SST, investigar accidentes y enfermedades ocupacionales, promover la capacitación, evaluar el Programa de Vigilancia Médica y recabar información sobre condiciones inseguras.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CONFIDENCIALIDAD Y 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Confidencialidad.  </w:t>
      </w:r>
      <w:r>
        <w:rPr>
          <w:rFonts w:ascii="Calibri" w:hAnsi="Calibri" w:cs="Calibri"/>
          <w:b w:val="0"/>
          <w:i w:val="0"/>
          <w:color w:val="111827"/>
          <w:sz w:val="20"/>
        </w:rPr>
        <w:t>Los datos personales del trabajador(a) accidentado se tratan conforme a la LOPDP y se comparten exclusivamente con fines de prevención, investigación, atención médica y reporte legal. El expediente se conserva por 10 años.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Prohibición de represalias.  </w:t>
      </w:r>
      <w:r>
        <w:rPr>
          <w:rFonts w:ascii="Calibri" w:hAnsi="Calibri" w:cs="Calibri"/>
          <w:b w:val="0"/>
          <w:i w:val="0"/>
          <w:color w:val="111827"/>
          <w:sz w:val="20"/>
        </w:rPr>
        <w:t>Queda terminantemente prohibida cualquier represalia contra el trabajador(a) que reporte un incidente, accidente o condición insegura, conforme al artículo 26 de la LOPCYMAT. El reporte de buena fe constituye un derecho y un deber.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INDICADORES Y MEJORA CONTINUA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Indicadores de gestión SST.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calcula y monitorea los siguientes indicadores mensualmente: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4252"/>
        <w:gridCol w:w="2438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425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Fórmula</w:t>
            </w:r>
          </w:p>
        </w:tc>
        <w:tc>
          <w:tcPr>
            <w:tcW w:type="dxa" w:w="243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Frecuencia (IF)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con incapacidad × 200.000 / horas trabajadas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5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Severidad (IS)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× 200.000 / horas trabajadas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100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incidencia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× 100 / N° trabajadores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reporte de casi-accidentes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casi-accidentes / N° accidentes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&gt; 10 (cultura proactiva)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Cumplimiento de capacitación SST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Horas capacitación ejecutadas / planificadas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95%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Cierre de planes de acción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Acciones cerradas / acciones planificadas × 100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90%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Ausentismo por salud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por salud / días laborables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3%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Revisión del Programa SST.  </w:t>
      </w:r>
      <w:r>
        <w:rPr>
          <w:rFonts w:ascii="Calibri" w:hAnsi="Calibri" w:cs="Calibri"/>
          <w:b w:val="0"/>
          <w:i w:val="0"/>
          <w:color w:val="111827"/>
          <w:sz w:val="20"/>
        </w:rPr>
        <w:t>El Programa de Seguridad y Salud en el Trabajo se revisa anualmente, conforme al artículo 89 de la LOPCYMAT, con base en los indicadores calculados, los reportes de incidentes y accidentes, las auditorías internas y externas, y las recomendaciones del Comité SST. La revisión da lugar a un Plan Anual de Prevención con objetivos, metas, responsables y plazos.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10d.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Capacitación continua.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recibe capacitación anual mínima de dieciséis (16) horas en materia de SST, conforme al artículo 56 de la LOPCYMAT. Las capacitaciones incluyen: bioseguridad veterinaria, manejo de sustancias controladas, protocolo de mordeduras, RCP, prevención de incendios, manejo de extintores, y revisión del presente Procedimiento de Reporte de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10e.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Auditorías externas.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se somete a auditorías externas periódicas por parte del INPSASEL, del IVSS y, cuando aplique, del SENAC. Los hallazgos se documentan y dan lugar a planes de acción con responsables y plazos, cuyo seguimiento hace el Comité SST.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C — FORMULARIO DE REPORTE DE INCIDENTE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Este formulario se completa por duplicado: copia para expediente SST y copia para el trabajador(a).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1 — 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Nombre completo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C.I. / Cargo / Departamento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Antigüedad / Fecha de ingreso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Edad / Sexo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2 — DATOS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del incidente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exacto del incidente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incidente (leve, grave, mortal, in itinere, enfermedad)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Categoría (ver Cap. IV)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Testigos (nombres y C.I.)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3 — DESCRIPCIÓN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detallada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Tarea que realizaba el trabajador(a)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/ herramienta / sustancia involucrada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Factores contribuyentes (condiciones inseguras)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Actos inseguros detectados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4 — LESIONES Y ATENCIÓN MÉDICA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lesión / parte del cuerpo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Gravedad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Centro asistencial que atendió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Tratamiento / reposo indicado (días)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Reportado al IVSS / INPSASEL (fecha y hora)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5 — INVESTIGACIÓN DE CAUSA RAÍZ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Investigador designado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inmediata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básica (organizacional / humano)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raíz (5 por qué)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Medidas correctivas propuestas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Responsables / Plazos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6 —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TESTIGO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«Procedimiento de Reporte de Incidentes y Accidentes de Trabajo»,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Cinthia Paola Hernández Padilla · C.I. V-25.562.814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