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REGLAMENTO INTERNO</w:t>
            </w:r>
          </w:p>
          <w:p>
            <w:pPr>
              <w:spacing w:before="0"/>
              <w:jc w:val="right"/>
            </w:pPr>
            <w:r>
              <w:rPr>
                <w:rFonts w:ascii="Calibri" w:hAnsi="Calibri" w:cs="Calibri"/>
                <w:b w:val="0"/>
                <w:i/>
                <w:color w:val="556575"/>
                <w:sz w:val="18"/>
              </w:rPr>
              <w:t>Régimen Disciplinario y Normativo</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REGLAMENTO INTERNO DE TRABAJO</w:t>
      </w:r>
    </w:p>
    <w:p>
      <w:pPr>
        <w:spacing w:before="0" w:after="200"/>
        <w:pBdr>
          <w:bottom w:val="single" w:sz="10" w:space="1" w:color="0F766E"/>
        </w:pBdr>
      </w:pPr>
    </w:p>
    <w:p>
      <w:pPr>
        <w:spacing w:before="0" w:after="120" w:line="312" w:lineRule="auto"/>
        <w:jc w:val="both"/>
      </w:pPr>
      <w:r>
        <w:rPr>
          <w:rFonts w:ascii="Calibri" w:hAnsi="Calibri" w:cs="Calibri"/>
          <w:b w:val="0"/>
          <w:i w:val="0"/>
          <w:sz w:val="20"/>
        </w:rPr>
        <w:t>En cumplimiento de lo establecido en el artículo 191 de la Ley Orgánica del Trabajo, los Trabajadores y las Trabajadoras (LOTTT), la empresa GRUPO CAVAL 1003, C.A. (marca comercial ALIKA PETS), en adelante LA EMPRESA, dedicada a la prestación de servicios de clínica veterinaria, tienda de mascotas y peluquería canina, con domicilio en Av. Francisco de Miranda, Local N° 1, Sector Francisco de Miranda, Los Teques, Estado Miranda, Zona Postal 1201, establece el presente Reglamento Interno de Trabajo, de cumplimiento obligatorio para todo el personal bajo cualquier modalidad de contratación.</w:t>
      </w:r>
    </w:p>
    <w:p>
      <w:pPr>
        <w:spacing w:before="0" w:after="160" w:line="312" w:lineRule="auto"/>
        <w:jc w:val="both"/>
      </w:pPr>
      <w:r>
        <w:rPr>
          <w:rFonts w:ascii="Calibri" w:hAnsi="Calibri" w:cs="Calibri"/>
          <w:b w:val="0"/>
          <w:i w:val="0"/>
          <w:sz w:val="20"/>
        </w:rPr>
        <w:t>El presente Reglamento entra en vigencia a partir de su publicación mediante fijación en lugar visible del centro de trabajo y entrega de copia a cada trabajador(a), con constancia escrita de recepción conforme al artículo 192 de la LOTTT.</w:t>
      </w: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Ámbito de aplicación.  </w:t>
      </w:r>
      <w:r>
        <w:rPr>
          <w:rFonts w:ascii="Calibri" w:hAnsi="Calibri" w:cs="Calibri"/>
          <w:b w:val="0"/>
          <w:i w:val="0"/>
          <w:color w:val="111827"/>
          <w:sz w:val="20"/>
        </w:rPr>
        <w:t>Las disposiciones del presente Reglamento Interno son de carácter obligatorio para todo el personal de LA EMPRESA, sin distinción de jerarquía, cargo, modalidad de contratación, jornada o turno, incluyendo personal fijo, contratado, eventual, de prueba, pasantes y personal en formación.</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Finalidad.  </w:t>
      </w:r>
      <w:r>
        <w:rPr>
          <w:rFonts w:ascii="Calibri" w:hAnsi="Calibri" w:cs="Calibri"/>
          <w:b w:val="0"/>
          <w:i w:val="0"/>
          <w:color w:val="111827"/>
          <w:sz w:val="20"/>
        </w:rPr>
        <w:t>El presente Reglamento tiene por finalidad establecer las normas de orden técnico, disciplinario y de conducta que regulan la prestación de servicios en LA EMPRESA, así como garantizar un ambiente de trabajo seguro, armónico, productivo y respetuoso de la dignidad de las personas, conforme a la Constitución de la República Bolivariana de Venezuela, la LOTTT, la LOPCYMAT y demás leyes aplicables.</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Principios.  </w:t>
      </w:r>
      <w:r>
        <w:rPr>
          <w:rFonts w:ascii="Calibri" w:hAnsi="Calibri" w:cs="Calibri"/>
          <w:b w:val="0"/>
          <w:i w:val="0"/>
          <w:color w:val="111827"/>
          <w:sz w:val="20"/>
        </w:rPr>
        <w:t>Son principios rectores del presente Reglamento: la legalidad, la igualdad y no discriminación, el respeto a la dignidad humana, la buena fe, la primacía de la realidad, la protección al trabajo, la interdicción de la arbitrariedad, la adaptación del trabajo a la persona, la debida diligencia y la transparencia.</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Modificación.  </w:t>
      </w:r>
      <w:r>
        <w:rPr>
          <w:rFonts w:ascii="Calibri" w:hAnsi="Calibri" w:cs="Calibri"/>
          <w:b w:val="0"/>
          <w:i w:val="0"/>
          <w:color w:val="111827"/>
          <w:sz w:val="20"/>
        </w:rPr>
        <w:t>LA EMPRESA se reserva el derecho de modificar el presente Reglamento cuando lo estime conveniente, conforme a las necesidades del servicio y a la legislación vigente. Toda modificación será notificada por escrito al personal con al menos quince (15) días hábiles de anticipación a su entrada en vigencia y se entregará copia actualizada con constancia de recepción.</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ADMISIÓN, INGRESO Y CONTRATACIÓN</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Requisitos de ingreso.  </w:t>
      </w:r>
      <w:r>
        <w:rPr>
          <w:rFonts w:ascii="Calibri" w:hAnsi="Calibri" w:cs="Calibri"/>
          <w:b w:val="0"/>
          <w:i w:val="0"/>
          <w:color w:val="111827"/>
          <w:sz w:val="20"/>
        </w:rPr>
        <w:t>Toda persona que aspire a laborar en LA EMPRESA deberá consignar: cédula de identidad vigente, currículum vitae actualizado, constancia de trabajo anterior, referencias personales y laborales, constancias de IVSS, FAOV, INCES y PMSSO, título académico o certificado de competencia, inscripción en el Colegio Profesional correspondiente (médicos veterinarios), RIF personal y datos de cuenta bancaria activa.</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Período de prueba.  </w:t>
      </w:r>
      <w:r>
        <w:rPr>
          <w:rFonts w:ascii="Calibri" w:hAnsi="Calibri" w:cs="Calibri"/>
          <w:b w:val="0"/>
          <w:i w:val="0"/>
          <w:color w:val="111827"/>
          <w:sz w:val="20"/>
        </w:rPr>
        <w:t>Conforme al artículo 22 de la LOTTT, el período de prueba será de treinta (30) días para contratos por tiempo indeterminado y de catorce (14) días para contratos a plazo determinado, durante los cuales cualquiera de las partes podrá dar por terminada la relación laboral sin causa justificada y sin derecho a prestaciones sociales, salvo indemnización de antigüedad proporcional conforme al artículo 125 de la LOTTT.</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Contrato de trabajo.  </w:t>
      </w:r>
      <w:r>
        <w:rPr>
          <w:rFonts w:ascii="Calibri" w:hAnsi="Calibri" w:cs="Calibri"/>
          <w:b w:val="0"/>
          <w:i w:val="0"/>
          <w:color w:val="111827"/>
          <w:sz w:val="20"/>
        </w:rPr>
        <w:t>Toda relación laboral se formalizará por escrito en un contrato individual de trabajo que deberá contener las menciones obligatorias del artículo 71 de la LOTTT. El contrato se celebrará por duplicado, entregándose un ejemplar al trabajador(a) contra firma de recepción.</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JORNADA, HORARIO Y DESCANSOS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Jornada de trabajo.  </w:t>
      </w:r>
      <w:r>
        <w:rPr>
          <w:rFonts w:ascii="Calibri" w:hAnsi="Calibri" w:cs="Calibri"/>
          <w:b w:val="0"/>
          <w:i w:val="0"/>
          <w:color w:val="111827"/>
          <w:sz w:val="20"/>
        </w:rPr>
        <w:t>La jornada de trabajo será de cinco (5) días a la semana, conforme al artículo 173 de la LOTTT. La jornada diurna será de ocho (8) horas, la mixta de siete y media (7,5) horas y la nocturna de siete (7) horas, sin exceder cuarenta (40) horas semanales en cualquiera de sus modalidades.</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Horario.  </w:t>
      </w:r>
      <w:r>
        <w:rPr>
          <w:rFonts w:ascii="Calibri" w:hAnsi="Calibri" w:cs="Calibri"/>
          <w:b w:val="0"/>
          <w:i w:val="0"/>
          <w:color w:val="111827"/>
          <w:sz w:val="20"/>
        </w:rPr>
        <w:t>El horario de atención al público es de lunes a sábado, en turnos rotativos establecidos por la Gerencia. Cada trabajador(a) recibirá su programación de turnos con al menos siete (7) días de anticipación. Los cambios de turno excepcionales serán comunicados con cuarenta y ocho (48) horas de anticipación, salvo casos fortuitos o de fuerza mayor.</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Descanso intrajornada.  </w:t>
      </w:r>
      <w:r>
        <w:rPr>
          <w:rFonts w:ascii="Calibri" w:hAnsi="Calibri" w:cs="Calibri"/>
          <w:b w:val="0"/>
          <w:i w:val="0"/>
          <w:color w:val="111827"/>
          <w:sz w:val="20"/>
        </w:rPr>
        <w:t>Todo trabajador(a) tiene derecho a un descanso intrajornada de treinta (30) a sesenta (60) minutos, según jornada, conforme al artículo 184 de la LOTTT. Este descanso no se computará como tiempo efectivo de trabajo.</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Días feriados y de descanso.  </w:t>
      </w:r>
      <w:r>
        <w:rPr>
          <w:rFonts w:ascii="Calibri" w:hAnsi="Calibri" w:cs="Calibri"/>
          <w:b w:val="0"/>
          <w:i w:val="0"/>
          <w:color w:val="111827"/>
          <w:sz w:val="20"/>
        </w:rPr>
        <w:t>Los días domingo son de descanso obligatorio remunerado. Los días feriados nacionales se regirán por la Ley de Feriados Nacionales. Cuando por necesidades del servicio (atención de emergencias veterinarias) deba laborarse un día de descanso u horas extraordinarias, se aplicará la compensación prevista en los artículos 171 y 171-A de la LOTTT (recargo del 50% en día feriado, 95% si fuere nocturno).</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DERECHOS DEL TRABAJADOR(A)</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Derechos individuales.  </w:t>
      </w:r>
      <w:r>
        <w:rPr>
          <w:rFonts w:ascii="Calibri" w:hAnsi="Calibri" w:cs="Calibri"/>
          <w:b w:val="0"/>
          <w:i w:val="0"/>
          <w:color w:val="111827"/>
          <w:sz w:val="20"/>
        </w:rPr>
        <w:t>Son derechos de cada trabajador(a): percibir la remuneración pactada en moneda de curso legal, disfrutar de jornada y horario establecidos, descanso semanal y feriados, vacaciones anuales remuneradas, bono de alimentación (Ley de Alimentación para los Trabajadores y las Trabajadoras), prestaciones sociales conforme a la LOTTT, utilidades, y un ambiente de trabajo seguro y saludable conforme a la LOPCYMAT.</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Derechos colectivos.  </w:t>
      </w:r>
      <w:r>
        <w:rPr>
          <w:rFonts w:ascii="Calibri" w:hAnsi="Calibri" w:cs="Calibri"/>
          <w:b w:val="0"/>
          <w:i w:val="0"/>
          <w:color w:val="111827"/>
          <w:sz w:val="20"/>
        </w:rPr>
        <w:t>Los trabajadores y trabajadoras tienen derecho a la libertad sindical, a la negociación colectiva, a la huelga conforme a la ley, a reunirse en asamblea fuera del horario de trabajo y a elegir delegados de prevención ante el Comité de Seguridad y Salud Laboral conforme al artículo 46 de la LOPCYMAT.</w:t>
      </w:r>
    </w:p>
    <w:p>
      <w:pPr>
        <w:spacing w:before="80" w:after="60" w:line="312" w:lineRule="auto"/>
        <w:jc w:val="both"/>
      </w:pPr>
      <w:r>
        <w:rPr>
          <w:rFonts w:ascii="Calibri" w:hAnsi="Calibri" w:cs="Calibri"/>
          <w:b/>
          <w:i w:val="0"/>
          <w:color w:val="0F766E"/>
          <w:sz w:val="20"/>
        </w:rPr>
        <w:t xml:space="preserve">Art. 14.  </w:t>
      </w:r>
      <w:r>
        <w:rPr>
          <w:rFonts w:ascii="Calibri" w:hAnsi="Calibri" w:cs="Calibri"/>
          <w:b/>
          <w:i w:val="0"/>
          <w:color w:val="111827"/>
          <w:sz w:val="20"/>
        </w:rPr>
        <w:t xml:space="preserve">Capacitación.  </w:t>
      </w:r>
      <w:r>
        <w:rPr>
          <w:rFonts w:ascii="Calibri" w:hAnsi="Calibri" w:cs="Calibri"/>
          <w:b w:val="0"/>
          <w:i w:val="0"/>
          <w:color w:val="111827"/>
          <w:sz w:val="20"/>
        </w:rPr>
        <w:t>Todo trabajador(a) tiene derecho a recibir capacitación y formación profesional permanente, conforme al artículo 56 de la LOTTT y a la Ley del INCES. LA EMPRESA facilitará al menos una (1) jornada de capacitación trimestral al personal.</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DEBERES Y OBLIGACIONES DEL TRABAJADOR(A)</w:t>
      </w:r>
    </w:p>
    <w:p>
      <w:pPr>
        <w:spacing w:before="80" w:after="60" w:line="312" w:lineRule="auto"/>
        <w:jc w:val="both"/>
      </w:pPr>
      <w:r>
        <w:rPr>
          <w:rFonts w:ascii="Calibri" w:hAnsi="Calibri" w:cs="Calibri"/>
          <w:b/>
          <w:i w:val="0"/>
          <w:color w:val="0F766E"/>
          <w:sz w:val="20"/>
        </w:rPr>
        <w:t xml:space="preserve">Art. 15.  </w:t>
      </w:r>
      <w:r>
        <w:rPr>
          <w:rFonts w:ascii="Calibri" w:hAnsi="Calibri" w:cs="Calibri"/>
          <w:b/>
          <w:i w:val="0"/>
          <w:color w:val="111827"/>
          <w:sz w:val="20"/>
        </w:rPr>
        <w:t xml:space="preserve">Deberes generales.  </w:t>
      </w:r>
      <w:r>
        <w:rPr>
          <w:rFonts w:ascii="Calibri" w:hAnsi="Calibri" w:cs="Calibri"/>
          <w:b w:val="0"/>
          <w:i w:val="0"/>
          <w:color w:val="111827"/>
          <w:sz w:val="20"/>
        </w:rPr>
        <w:t>Son deberes de todo el personal: cumplir las órdenes e instrucciones legítimas de los superiores, observar buena conducta, conservar y usar correctamente las herramientas, equipos, suministros e instalaciones, mantener el aseo personal y del puesto de trabajo, asistir puntualmente, observar las normas de seguridad y salud laboral, y guardar lealtad y reserva sobre la información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Cumplir con el horario establecido, registrando la entrada y salida en el sistema habilitado.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Permanecer en el puesto durante la jornada, salvo autorización del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Atender con cortesía, respeto y eficiencia a los clientes, pacientes y compañeros.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Portar el uniforme y los elementos de protección personal (EPP) establecidos.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Manipular con cuidado a los animales bajo atención y seguir los protocolos veterinarios.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Registrar con veracidad y oportunidad las historias clínicas, ventas y procedimientos.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Cuidar y mantener en buen estado el equipo, instrumental, medicamentos e instalaciones.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Reportar inmediatamente cualquier accidente de trabajo, incidente o condición insegura.</w:t>
      </w:r>
    </w:p>
    <w:p>
      <w:pPr>
        <w:spacing w:before="80" w:after="60" w:line="312" w:lineRule="auto"/>
        <w:jc w:val="both"/>
      </w:pPr>
      <w:r>
        <w:rPr>
          <w:rFonts w:ascii="Calibri" w:hAnsi="Calibri" w:cs="Calibri"/>
          <w:b/>
          <w:i w:val="0"/>
          <w:color w:val="0F766E"/>
          <w:sz w:val="20"/>
        </w:rPr>
        <w:t xml:space="preserve">Art. 16.  </w:t>
      </w:r>
      <w:r>
        <w:rPr>
          <w:rFonts w:ascii="Calibri" w:hAnsi="Calibri" w:cs="Calibri"/>
          <w:b/>
          <w:i w:val="0"/>
          <w:color w:val="111827"/>
          <w:sz w:val="20"/>
        </w:rPr>
        <w:t xml:space="preserve">Deberes especiales del personal veterinario y auxiliar.  </w:t>
      </w:r>
      <w:r>
        <w:rPr>
          <w:rFonts w:ascii="Calibri" w:hAnsi="Calibri" w:cs="Calibri"/>
          <w:b w:val="0"/>
          <w:i w:val="0"/>
          <w:color w:val="111827"/>
          <w:sz w:val="20"/>
        </w:rPr>
        <w:t>El personal médico veterinario y auxiliar veterinario deberá cumplir adicionalmente con: el Código de Ética del Colegio Médico Veterinario de Venezuela (CMVV), la Norma Técnica NT-01-2008 de Bioseguridad, los protocolos internos de manejo de sustancias controladas, profilaxis antirrábica y residuos biomédicos, así como mantener vigente la inscripción en el CMVV y la certificación de vacunación antirrábica pre-exposición.</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PROHIBICIONES AL PERSONAL</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Prohibiciones generales.  </w:t>
      </w:r>
      <w:r>
        <w:rPr>
          <w:rFonts w:ascii="Calibri" w:hAnsi="Calibri" w:cs="Calibri"/>
          <w:b w:val="0"/>
          <w:i w:val="0"/>
          <w:color w:val="111827"/>
          <w:sz w:val="20"/>
        </w:rPr>
        <w:t>Conforme al artículo 79 de la LOTTT, queda terminantemente prohibido al personal: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Faltar al trabajo sin causa justificada o sin aviso previo al supervisor.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Presentarse al trabajo en estado de ebriedad o bajo efectos de sustancias psicotrópicas.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Consumir, distribuir o traficar sustancias estupefacientes o psicotrópicas en el centro de trabajo.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Portar armas de fuego, blancas o contundentes dentro de las instalaciones sin autorización.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Fumar o encender fuego en áreas no autorizadas (quirófano, depósito, farmacia, hospitalización).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Sustraer, ocultar o darnos bienes de LA EMPRESA, de los clientes o de las mascotas.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Maltratar física, verbal o psicológicamente a cualquier animal, compañero, cliente o proveedor.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Abandonar el puesto de trabajo sin causa justificada o sin dejar reemplazo.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Dormir durante la jornada de trabajo, en especial en turnos de hospitalización o guardia.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Divulgar información confidencial, técnica, comercial o de historias clínicas de pacientes.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Realizar trabajos particulares durante la jornada o usar equipos de LA EMPRESA para fines ajenos.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Aceptar dádivas, regalos o comisiones de proveedores o clientes (conflictos de interés).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Discriminar por raza, sexo, orientación sexual, edad, religión, ideología política o discapacidad.</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Hostigar sexualmente o por cualquier causa a compañeros, subalternos, clientes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Publicar en redes sociales contenidos que afecten la imagen de LA EMPRESA o revelen información interna.</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Prohibiciones especiales.  </w:t>
      </w:r>
      <w:r>
        <w:rPr>
          <w:rFonts w:ascii="Calibri" w:hAnsi="Calibri" w:cs="Calibri"/>
          <w:b w:val="0"/>
          <w:i w:val="0"/>
          <w:color w:val="111827"/>
          <w:sz w:val="20"/>
        </w:rPr>
        <w:t>Queda prohibido al personal veterinario y auxiliar: practicar abortos inducidos sin causa terapéutica documentada, eutanasias no autorizadas por el propietario del animal o sin protocolo veterinario, recetar sustancias controladas sin fundamento clínico, usar anestésicos u opioides sin control de inventario y sin doble chequeo, y abandonar un procedimiento quirúrgico sin causa justificada.</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ESCALA DE FALTAS</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Clasificación.  </w:t>
      </w:r>
      <w:r>
        <w:rPr>
          <w:rFonts w:ascii="Calibri" w:hAnsi="Calibri" w:cs="Calibri"/>
          <w:b w:val="0"/>
          <w:i w:val="0"/>
          <w:color w:val="111827"/>
          <w:sz w:val="20"/>
        </w:rPr>
        <w:t>Las faltas cometidas por el personal se clasifican en leves, graves y muy graves, conforme a la naturaleza del hecho, las circunstancias y los perjuicios causados. La calificación corresponde a la Gerencia, previa opinión del Comité de Convivencia cuando aplique, conforme al artículo 191 de la LOTTT.</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Faltas leves.  </w:t>
      </w:r>
      <w:r>
        <w:rPr>
          <w:rFonts w:ascii="Calibri" w:hAnsi="Calibri" w:cs="Calibri"/>
          <w:b w:val="0"/>
          <w:i w:val="0"/>
          <w:color w:val="111827"/>
          <w:sz w:val="20"/>
        </w:rPr>
        <w:t>Son faltas leves aquellas que no afecten significativamente la marcha del servicio ni causen perjuicio grave, tales como: impuntualidad de menos de quince (15) minutos, descuido menor en el aseo del puesto, no portar el uniforme correctamente, olvidar el carné identificativo, conversar en exceso durante la atención al público, descuidos menores de procedimiento.</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Faltas graves.  </w:t>
      </w:r>
      <w:r>
        <w:rPr>
          <w:rFonts w:ascii="Calibri" w:hAnsi="Calibri" w:cs="Calibri"/>
          <w:b w:val="0"/>
          <w:i w:val="0"/>
          <w:color w:val="111827"/>
          <w:sz w:val="20"/>
        </w:rPr>
        <w:t>Son faltas graves: la impuntualidad reiterada (más de tres veces en un mes), inasistencia injustificada al trabajo, negligencia en el manejo de animales que cause lesiones, descuido de instrumental o equipo, incumplimiento de protocolos de bioseguridad, abandono temporal del puesto, incumplimiento del régimen de sustancias controladas, riñas o alteraciones del orden, uso indebido de redes sociales con afectación a la imagen de LA EMPRESA, falsedad en registros clínicos o de ventas.</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Faltas muy graves.  </w:t>
      </w:r>
      <w:r>
        <w:rPr>
          <w:rFonts w:ascii="Calibri" w:hAnsi="Calibri" w:cs="Calibri"/>
          <w:b w:val="0"/>
          <w:i w:val="0"/>
          <w:color w:val="111827"/>
          <w:sz w:val="20"/>
        </w:rPr>
        <w:t>Son faltas muy graves: el robo o hurto, fraude, maltrato animal deliberado, agredir físicamente a compañeros o clientes, acoso sexual o laboral, presentarse bajo efectos de sustancias, tráfico de sustancias estupefacientes o psicotrópicas, divulgación de información confidencial o de historias clínicas, apropiación de fondos o especies, sabotaje, abandono del puesto en emergencia, así como la reincidencia en faltas graves.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ESCALA DE SANCIONES DISCIPLINARIAS</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Tipos de sanciones.  </w:t>
      </w:r>
      <w:r>
        <w:rPr>
          <w:rFonts w:ascii="Calibri" w:hAnsi="Calibri" w:cs="Calibri"/>
          <w:b w:val="0"/>
          <w:i w:val="0"/>
          <w:color w:val="111827"/>
          <w:sz w:val="20"/>
        </w:rPr>
        <w:t>Conforme al artículo 191 de la LOTTT y al principio de proporcionalidad, las sanciones aplicables son tres: amonestación verbal, amonestación escrita y despido justificado. Queda expresamente prohibido el descuento salarial automático como sanción, conforme al artículo 59 de la LOTTT; cualquier descuento por daños requiere autorización previa del Inspector del Trabajo.</w:t>
      </w:r>
    </w:p>
    <w:p>
      <w:pPr>
        <w:spacing w:before="80" w:after="60" w:line="312" w:lineRule="auto"/>
        <w:jc w:val="both"/>
      </w:pPr>
      <w:r>
        <w:rPr>
          <w:rFonts w:ascii="Calibri" w:hAnsi="Calibri" w:cs="Calibri"/>
          <w:b/>
          <w:i w:val="0"/>
          <w:color w:val="0F766E"/>
          <w:sz w:val="20"/>
        </w:rPr>
        <w:t xml:space="preserve">Art. 24.  </w:t>
      </w:r>
      <w:r>
        <w:rPr>
          <w:rFonts w:ascii="Calibri" w:hAnsi="Calibri" w:cs="Calibri"/>
          <w:b/>
          <w:i w:val="0"/>
          <w:color w:val="111827"/>
          <w:sz w:val="20"/>
        </w:rPr>
        <w:t xml:space="preserve">Tabla de sanciones.  </w:t>
      </w:r>
      <w:r>
        <w:rPr>
          <w:rFonts w:ascii="Calibri" w:hAnsi="Calibri" w:cs="Calibri"/>
          <w:b w:val="0"/>
          <w:i w:val="0"/>
          <w:color w:val="111827"/>
          <w:sz w:val="20"/>
        </w:rPr>
        <w:t>La siguiente tabla resume el régimen sancionatorio aplicable:</w:t>
      </w:r>
    </w:p>
    <w:tbl>
      <w:tblPr>
        <w:tblW w:type="auto" w:w="0"/>
        <w:jc w:val="center"/>
        <w:tblLayout w:type="fixed"/>
        <w:tblLook w:firstColumn="1" w:firstRow="1" w:lastColumn="0" w:lastRow="0" w:noHBand="0" w:noVBand="1" w:val="04A0"/>
      </w:tblPr>
      <w:tblGrid>
        <w:gridCol w:w="3118"/>
        <w:gridCol w:w="1417"/>
        <w:gridCol w:w="2551"/>
        <w:gridCol w:w="2324"/>
      </w:tblGrid>
      <w:tr>
        <w:tc>
          <w:tcPr>
            <w:tcW w:type="dxa" w:w="3118"/>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Falta</w:t>
            </w:r>
          </w:p>
        </w:tc>
        <w:tc>
          <w:tcPr>
            <w:tcW w:type="dxa" w:w="1417"/>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Tipo</w:t>
            </w:r>
          </w:p>
        </w:tc>
        <w:tc>
          <w:tcPr>
            <w:tcW w:type="dxa" w:w="2551"/>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Sanción</w:t>
            </w:r>
          </w:p>
        </w:tc>
        <w:tc>
          <w:tcPr>
            <w:tcW w:type="dxa" w:w="2324"/>
            <w:vAlign w:val="center"/>
            <w:shd w:val="clear" w:color="auto" w:fill="0F766E"/>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FFFFFF"/>
                <w:sz w:val="18"/>
              </w:rPr>
              <w:t>Constancia</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Impuntualidad leve (&lt;15 min)</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047857"/>
                <w:sz w:val="18"/>
              </w:rPr>
              <w:t>Amonestación verbal</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Anotación en expediente</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Descuido menor en aseo/uniforme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LEVE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047857"/>
                <w:sz w:val="18"/>
              </w:rPr>
              <w:t>Amonestación verbal</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Expediente del supervisor</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Impuntualidad reiterada (&gt;3/mes)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firmada por trabajador</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Inasistencia injustificada</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descuento día no laborado</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Negligencia con animal (lesión)</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investigación causa raíz</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Incumplir protocolo bioseguridad</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capacitación reforzada</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Incumplir control sustancias</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Amonestación escrita</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Acta + auditoría inventario</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i w:val="0"/>
                <w:color w:val="B91C1C"/>
                <w:sz w:val="18"/>
              </w:rPr>
              <w:t>Reincidencia en falta grave</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 LOTTT</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Robo, hurto, fraude</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79.3 LOTTT</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Maltrato animal deliberado</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79.4 + Ley Protección Animal</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Acoso sexual o laboral</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79.6 LOTTT + Ley Especial Dignificación Mujer</w:t>
            </w:r>
          </w:p>
        </w:tc>
      </w:tr>
      <w:tr>
        <w:tc>
          <w:tcPr>
            <w:tcW w:type="dxa" w:w="3118"/>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Presentarse bajo efectos</w:t>
            </w:r>
          </w:p>
        </w:tc>
        <w:tc>
          <w:tcPr>
            <w:tcW w:type="dxa" w:w="1417"/>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79.7 LOTTT</w:t>
            </w:r>
          </w:p>
        </w:tc>
      </w:tr>
      <w:tr>
        <w:tc>
          <w:tcPr>
            <w:tcW w:type="dxa" w:w="3118"/>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center"/>
            </w:pPr>
            <w:r/>
            <w:r>
              <w:rPr>
                <w:rFonts w:ascii="Calibri" w:hAnsi="Calibri" w:cs="Calibri"/>
                <w:b w:val="0"/>
                <w:i w:val="0"/>
                <w:color w:val="111827"/>
                <w:sz w:val="18"/>
              </w:rPr>
              <w:t>Divulgar información confidencial</w:t>
            </w:r>
          </w:p>
        </w:tc>
        <w:tc>
          <w:tcPr>
            <w:tcW w:type="dxa" w:w="1417"/>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MUY GRAVE</w:t>
            </w:r>
          </w:p>
        </w:tc>
        <w:tc>
          <w:tcPr>
            <w:tcW w:type="dxa" w:w="2551"/>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B91C1C"/>
                <w:sz w:val="18"/>
              </w:rPr>
              <w:t>DESPIDO JUSTIFICADO</w:t>
            </w:r>
          </w:p>
        </w:tc>
        <w:tc>
          <w:tcPr>
            <w:tcW w:type="dxa" w:w="2324"/>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111827"/>
                <w:sz w:val="18"/>
              </w:rPr>
              <w:t>Art. 79.9 LOTTT + LOPDP</w:t>
            </w:r>
          </w:p>
        </w:tc>
      </w:tr>
    </w:tbl>
    <w:p>
      <w:pPr>
        <w:spacing w:after="80"/>
      </w:pPr>
    </w:p>
    <w:p>
      <w:pPr>
        <w:spacing w:before="80" w:after="80" w:line="312" w:lineRule="auto"/>
        <w:jc w:val="both"/>
      </w:pPr>
      <w:r>
        <w:rPr>
          <w:rFonts w:ascii="Calibri" w:hAnsi="Calibri" w:cs="Calibri"/>
          <w:b w:val="0"/>
          <w:i/>
          <w:sz w:val="18"/>
        </w:rPr>
        <w:t>Nota: Toda sanción escrita se notificará al trabajador(a) dentro de los tres (3) días hábiles siguientes, indicando los hechos, su calificación y la sanción impuesta. El trabajador(a) tiene derecho a firmar conformidad o dejar constancia de su disconformidad, sin que ello afecte la aplicación de la sanción. El expediente disciplinario se conservará por cinco (5) años conforme al artículo 183 de la LOTTT.</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PROCEDIMIENTO DISCIPLINARIO</w:t>
      </w:r>
    </w:p>
    <w:p>
      <w:pPr>
        <w:spacing w:before="80" w:after="60" w:line="312" w:lineRule="auto"/>
        <w:jc w:val="both"/>
      </w:pPr>
      <w:r>
        <w:rPr>
          <w:rFonts w:ascii="Calibri" w:hAnsi="Calibri" w:cs="Calibri"/>
          <w:b/>
          <w:i w:val="0"/>
          <w:color w:val="0F766E"/>
          <w:sz w:val="20"/>
        </w:rPr>
        <w:t xml:space="preserve">Art. 25.  </w:t>
      </w:r>
      <w:r>
        <w:rPr>
          <w:rFonts w:ascii="Calibri" w:hAnsi="Calibri" w:cs="Calibri"/>
          <w:b/>
          <w:i w:val="0"/>
          <w:color w:val="111827"/>
          <w:sz w:val="20"/>
        </w:rPr>
        <w:t xml:space="preserve">Investigación previa.  </w:t>
      </w:r>
      <w:r>
        <w:rPr>
          <w:rFonts w:ascii="Calibri" w:hAnsi="Calibri" w:cs="Calibri"/>
          <w:b w:val="0"/>
          <w:i w:val="0"/>
          <w:color w:val="111827"/>
          <w:sz w:val="20"/>
        </w:rPr>
        <w:t>Antes de aplicar cualquier sanción escrita o despido, LA EMPRESA deberá practicar una investigación interna que permita esclarecer los hechos, identificar a los responsables y graduar la falta. La investigación incluirá la toma de declaraciones del trabajador(a) presuntamente infractor, testigos y supervisores, así como el análisis de pruebas documentales, videográficas o periciales.</w:t>
      </w:r>
    </w:p>
    <w:p>
      <w:pPr>
        <w:spacing w:before="80" w:after="60" w:line="312" w:lineRule="auto"/>
        <w:jc w:val="both"/>
      </w:pPr>
      <w:r>
        <w:rPr>
          <w:rFonts w:ascii="Calibri" w:hAnsi="Calibri" w:cs="Calibri"/>
          <w:b/>
          <w:i w:val="0"/>
          <w:color w:val="0F766E"/>
          <w:sz w:val="20"/>
        </w:rPr>
        <w:t xml:space="preserve">Art. 26.  </w:t>
      </w:r>
      <w:r>
        <w:rPr>
          <w:rFonts w:ascii="Calibri" w:hAnsi="Calibri" w:cs="Calibri"/>
          <w:b/>
          <w:i w:val="0"/>
          <w:color w:val="111827"/>
          <w:sz w:val="20"/>
        </w:rPr>
        <w:t xml:space="preserve">Derecho a la defensa.  </w:t>
      </w:r>
      <w:r>
        <w:rPr>
          <w:rFonts w:ascii="Calibri" w:hAnsi="Calibri" w:cs="Calibri"/>
          <w:b w:val="0"/>
          <w:i w:val="0"/>
          <w:color w:val="111827"/>
          <w:sz w:val="20"/>
        </w:rPr>
        <w:t>El trabajador(a) tiene derecho a ser oído, a aportar pruebas, a estar acompañado por un representante sindical o compañero de trabajo, y a contestar los cargos imputados por escrito dentro de los tres (3) días hábiles siguientes a la notificación. La defensa se ejerce sin interrumpir la prestación del servicio, salvo suspensión preventiva justificada conforme al artículo 73 de la LOTTT.</w:t>
      </w:r>
    </w:p>
    <w:p>
      <w:pPr>
        <w:spacing w:before="80" w:after="60" w:line="312" w:lineRule="auto"/>
        <w:jc w:val="both"/>
      </w:pPr>
      <w:r>
        <w:rPr>
          <w:rFonts w:ascii="Calibri" w:hAnsi="Calibri" w:cs="Calibri"/>
          <w:b/>
          <w:i w:val="0"/>
          <w:color w:val="0F766E"/>
          <w:sz w:val="20"/>
        </w:rPr>
        <w:t xml:space="preserve">Art. 27.  </w:t>
      </w:r>
      <w:r>
        <w:rPr>
          <w:rFonts w:ascii="Calibri" w:hAnsi="Calibri" w:cs="Calibri"/>
          <w:b/>
          <w:i w:val="0"/>
          <w:color w:val="111827"/>
          <w:sz w:val="20"/>
        </w:rPr>
        <w:t xml:space="preserve">Notificación.  </w:t>
      </w:r>
      <w:r>
        <w:rPr>
          <w:rFonts w:ascii="Calibri" w:hAnsi="Calibri" w:cs="Calibri"/>
          <w:b w:val="0"/>
          <w:i w:val="0"/>
          <w:color w:val="111827"/>
          <w:sz w:val="20"/>
        </w:rPr>
        <w:t>La sanción se notificará por escrito al trabajador(a), con copia al expediente y, cuando exista, al sindicato. La notificación contendrá: fecha, hechos imputados, calificación de la falta, sanción impuesta, fundamento legal y recurso que proceda.</w:t>
      </w:r>
    </w:p>
    <w:p>
      <w:pPr>
        <w:spacing w:before="80" w:after="60" w:line="312" w:lineRule="auto"/>
        <w:jc w:val="both"/>
      </w:pPr>
      <w:r>
        <w:rPr>
          <w:rFonts w:ascii="Calibri" w:hAnsi="Calibri" w:cs="Calibri"/>
          <w:b/>
          <w:i w:val="0"/>
          <w:color w:val="0F766E"/>
          <w:sz w:val="20"/>
        </w:rPr>
        <w:t xml:space="preserve">Art. 28.  </w:t>
      </w:r>
      <w:r>
        <w:rPr>
          <w:rFonts w:ascii="Calibri" w:hAnsi="Calibri" w:cs="Calibri"/>
          <w:b/>
          <w:i w:val="0"/>
          <w:color w:val="111827"/>
          <w:sz w:val="20"/>
        </w:rPr>
        <w:t xml:space="preserve">Recursos.  </w:t>
      </w:r>
      <w:r>
        <w:rPr>
          <w:rFonts w:ascii="Calibri" w:hAnsi="Calibri" w:cs="Calibri"/>
          <w:b w:val="0"/>
          <w:i w:val="0"/>
          <w:color w:val="111827"/>
          <w:sz w:val="20"/>
        </w:rPr>
        <w:t>Contra la sanción impuesta el trabajador(a) podrá ejercer los recursos administrativos previstos en la ley y acudir ante la Inspectoría del Trabajo o la jurisdicción laboralista, conforme a los artículos 474 y siguientes de la LOTTT.</w:t>
      </w:r>
    </w:p>
    <w:p>
      <w:pPr>
        <w:spacing w:before="80" w:after="60" w:line="312" w:lineRule="auto"/>
        <w:jc w:val="both"/>
      </w:pPr>
      <w:r>
        <w:rPr>
          <w:rFonts w:ascii="Calibri" w:hAnsi="Calibri" w:cs="Calibri"/>
          <w:b/>
          <w:i w:val="0"/>
          <w:color w:val="0F766E"/>
          <w:sz w:val="20"/>
        </w:rPr>
        <w:t xml:space="preserve">Art. 28b.  </w:t>
      </w:r>
      <w:r>
        <w:rPr>
          <w:rFonts w:ascii="Calibri" w:hAnsi="Calibri" w:cs="Calibri"/>
          <w:b/>
          <w:i w:val="0"/>
          <w:color w:val="111827"/>
          <w:sz w:val="20"/>
        </w:rPr>
        <w:t xml:space="preserve">Prescripción y rehabilitación.  </w:t>
      </w:r>
      <w:r>
        <w:rPr>
          <w:rFonts w:ascii="Calibri" w:hAnsi="Calibri" w:cs="Calibri"/>
          <w:b w:val="0"/>
          <w:i w:val="0"/>
          <w:color w:val="111827"/>
          <w:sz w:val="20"/>
        </w:rPr>
        <w:t>Las faltas leves prescriben a los treinta (30) días, las graves a los sesenta (60) días y las muy graves a los seis (6) meses, conforme al artículo 191 de la LOTTT. Las amonestaciones escritas se cancelan del expediente del trabajador(a) a los doce (12) meses sin nuevas faltas. La rehabilitación del trabajador(a) sancionado es automática al cumplir el plazo sin reincidencia.</w:t>
      </w:r>
    </w:p>
    <w:p>
      <w:pPr>
        <w:spacing w:before="80" w:after="60" w:line="312" w:lineRule="auto"/>
        <w:jc w:val="both"/>
      </w:pPr>
      <w:r>
        <w:rPr>
          <w:rFonts w:ascii="Calibri" w:hAnsi="Calibri" w:cs="Calibri"/>
          <w:b/>
          <w:i w:val="0"/>
          <w:color w:val="0F766E"/>
          <w:sz w:val="20"/>
        </w:rPr>
        <w:t xml:space="preserve">Art. 28c.  </w:t>
      </w:r>
      <w:r>
        <w:rPr>
          <w:rFonts w:ascii="Calibri" w:hAnsi="Calibri" w:cs="Calibri"/>
          <w:b/>
          <w:i w:val="0"/>
          <w:color w:val="111827"/>
          <w:sz w:val="20"/>
        </w:rPr>
        <w:t xml:space="preserve">Comité de Convivencia.  </w:t>
      </w:r>
      <w:r>
        <w:rPr>
          <w:rFonts w:ascii="Calibri" w:hAnsi="Calibri" w:cs="Calibri"/>
          <w:b w:val="0"/>
          <w:i w:val="0"/>
          <w:color w:val="111827"/>
          <w:sz w:val="20"/>
        </w:rPr>
        <w:t>Cuando el número de trabajadores alcance el mínimo legal previsto en la LOTTT, se constituirá un Comité de Convivencia o de Disciplina paritario, que actuará como órgano asesor en la calificación de faltas y propuesta de sanciones. Sus integrantes serán electos en asamblea y durarán dos (2) años en sus funciones.</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SEGURIDAD Y SALUD LABORAL</w:t>
      </w:r>
    </w:p>
    <w:p>
      <w:pPr>
        <w:spacing w:before="80" w:after="60" w:line="312" w:lineRule="auto"/>
        <w:jc w:val="both"/>
      </w:pPr>
      <w:r>
        <w:rPr>
          <w:rFonts w:ascii="Calibri" w:hAnsi="Calibri" w:cs="Calibri"/>
          <w:b/>
          <w:i w:val="0"/>
          <w:color w:val="0F766E"/>
          <w:sz w:val="20"/>
        </w:rPr>
        <w:t xml:space="preserve">Art. 29.  </w:t>
      </w:r>
      <w:r>
        <w:rPr>
          <w:rFonts w:ascii="Calibri" w:hAnsi="Calibri" w:cs="Calibri"/>
          <w:b/>
          <w:i w:val="0"/>
          <w:color w:val="111827"/>
          <w:sz w:val="20"/>
        </w:rPr>
        <w:t xml:space="preserve">Política de SST.  </w:t>
      </w:r>
      <w:r>
        <w:rPr>
          <w:rFonts w:ascii="Calibri" w:hAnsi="Calibri" w:cs="Calibri"/>
          <w:b w:val="0"/>
          <w:i w:val="0"/>
          <w:color w:val="111827"/>
          <w:sz w:val="20"/>
        </w:rPr>
        <w:t>LA EMPRESA declara como prioridad la seguridad y salud de su personal, conforme a la LOPCYMAT y la Norma Técnica NT-01-2008. Se mantendrá un Programa de Seguridad y Salud en el Trabajo bajo la responsabilidad de la Dirección y del Comité de Seguridad y Salud Laboral, integrado paritariamente conforme al artículo 46 de la LOPCYMAT.</w:t>
      </w:r>
    </w:p>
    <w:p>
      <w:pPr>
        <w:spacing w:before="80" w:after="60" w:line="312" w:lineRule="auto"/>
        <w:jc w:val="both"/>
      </w:pPr>
      <w:r>
        <w:rPr>
          <w:rFonts w:ascii="Calibri" w:hAnsi="Calibri" w:cs="Calibri"/>
          <w:b/>
          <w:i w:val="0"/>
          <w:color w:val="0F766E"/>
          <w:sz w:val="20"/>
        </w:rPr>
        <w:t xml:space="preserve">Art. 30.  </w:t>
      </w:r>
      <w:r>
        <w:rPr>
          <w:rFonts w:ascii="Calibri" w:hAnsi="Calibri" w:cs="Calibri"/>
          <w:b/>
          <w:i w:val="0"/>
          <w:color w:val="111827"/>
          <w:sz w:val="20"/>
        </w:rPr>
        <w:t xml:space="preserve">Obligaciones del trabajador en SST.  </w:t>
      </w:r>
      <w:r>
        <w:rPr>
          <w:rFonts w:ascii="Calibri" w:hAnsi="Calibri" w:cs="Calibri"/>
          <w:b w:val="0"/>
          <w:i w:val="0"/>
          <w:color w:val="111827"/>
          <w:sz w:val="20"/>
        </w:rPr>
        <w:t>Todo trabajador(a) está obligado a: usar correctamente el EPP entregado, cumplir los protocolos de bioseguridad veterinaria, reportar inmediatamente cualquier accidente de trabajo o incidente, participar en las capacitaciones, someterse a los exámenes médicos preventivos (NT-02-2008), y colaborar con el Comité SST.</w:t>
      </w:r>
    </w:p>
    <w:p>
      <w:pPr>
        <w:spacing w:before="80" w:after="60" w:line="312" w:lineRule="auto"/>
        <w:jc w:val="both"/>
      </w:pPr>
      <w:r>
        <w:rPr>
          <w:rFonts w:ascii="Calibri" w:hAnsi="Calibri" w:cs="Calibri"/>
          <w:b/>
          <w:i w:val="0"/>
          <w:color w:val="0F766E"/>
          <w:sz w:val="20"/>
        </w:rPr>
        <w:t xml:space="preserve">Art. 31.  </w:t>
      </w:r>
      <w:r>
        <w:rPr>
          <w:rFonts w:ascii="Calibri" w:hAnsi="Calibri" w:cs="Calibri"/>
          <w:b/>
          <w:i w:val="0"/>
          <w:color w:val="111827"/>
          <w:sz w:val="20"/>
        </w:rPr>
        <w:t xml:space="preserve">Notificación de riesgos.  </w:t>
      </w:r>
      <w:r>
        <w:rPr>
          <w:rFonts w:ascii="Calibri" w:hAnsi="Calibri" w:cs="Calibri"/>
          <w:b w:val="0"/>
          <w:i w:val="0"/>
          <w:color w:val="111827"/>
          <w:sz w:val="20"/>
        </w:rPr>
        <w:t>Conforme al artículo 56 de la LOPCYMAT, LA EMPRESA entregará a cada trabajador(a) la Notificación de Riesgos específica de su cargo, así como la información sobre las medidas de prevención, control y atención en caso de accidente o enfermedad ocupacional.</w:t>
      </w:r>
    </w:p>
    <w:p>
      <w:pPr>
        <w:spacing w:before="80" w:after="60" w:line="312" w:lineRule="auto"/>
        <w:jc w:val="both"/>
      </w:pPr>
      <w:r>
        <w:rPr>
          <w:rFonts w:ascii="Calibri" w:hAnsi="Calibri" w:cs="Calibri"/>
          <w:b/>
          <w:i w:val="0"/>
          <w:color w:val="0F766E"/>
          <w:sz w:val="20"/>
        </w:rPr>
        <w:t xml:space="preserve">Art. 32.  </w:t>
      </w:r>
      <w:r>
        <w:rPr>
          <w:rFonts w:ascii="Calibri" w:hAnsi="Calibri" w:cs="Calibri"/>
          <w:b/>
          <w:i w:val="0"/>
          <w:color w:val="111827"/>
          <w:sz w:val="20"/>
        </w:rPr>
        <w:t xml:space="preserve">Prohibición de represalias.  </w:t>
      </w:r>
      <w:r>
        <w:rPr>
          <w:rFonts w:ascii="Calibri" w:hAnsi="Calibri" w:cs="Calibri"/>
          <w:b w:val="0"/>
          <w:i w:val="0"/>
          <w:color w:val="111827"/>
          <w:sz w:val="20"/>
        </w:rPr>
        <w:t>Queda prohibido cualquier acto de represalia contra el trabajador(a) que reporte condiciones inseguras, se niegue a ejecutar tareas que pongan en peligro su vida o salud, o participe en las actividades del Comité SST, conforme al artículo 26 de la LOPCYMAT.</w:t>
      </w:r>
    </w:p>
    <w:p>
      <w:pPr>
        <w:keepNext/>
        <w:spacing w:before="240" w:after="40"/>
        <w:jc w:val="left"/>
      </w:pPr>
      <w:r>
        <w:rPr>
          <w:rFonts w:ascii="Calibri" w:hAnsi="Calibri" w:cs="Calibri"/>
          <w:b/>
          <w:i w:val="0"/>
          <w:color w:val="556575"/>
          <w:sz w:val="20"/>
        </w:rPr>
        <w:t>CAPÍTULO XI</w:t>
      </w:r>
    </w:p>
    <w:p>
      <w:pPr>
        <w:keepNext/>
        <w:spacing w:before="0" w:after="80"/>
        <w:pBdr>
          <w:bottom w:val="single" w:sz="4" w:space="1" w:color="CBD5E1"/>
        </w:pBdr>
      </w:pPr>
      <w:r>
        <w:rPr>
          <w:rFonts w:ascii="Calibri" w:hAnsi="Calibri" w:cs="Calibri"/>
          <w:b/>
          <w:i w:val="0"/>
          <w:color w:val="0F766E"/>
          <w:sz w:val="24"/>
        </w:rPr>
        <w:t>DISPOSICIONES FINALES</w:t>
      </w:r>
    </w:p>
    <w:p>
      <w:pPr>
        <w:spacing w:before="80" w:after="60" w:line="312" w:lineRule="auto"/>
        <w:jc w:val="both"/>
      </w:pPr>
      <w:r>
        <w:rPr>
          <w:rFonts w:ascii="Calibri" w:hAnsi="Calibri" w:cs="Calibri"/>
          <w:b/>
          <w:i w:val="0"/>
          <w:color w:val="0F766E"/>
          <w:sz w:val="20"/>
        </w:rPr>
        <w:t xml:space="preserve">Art. 33.  </w:t>
      </w:r>
      <w:r>
        <w:rPr>
          <w:rFonts w:ascii="Calibri" w:hAnsi="Calibri" w:cs="Calibri"/>
          <w:b/>
          <w:i w:val="0"/>
          <w:color w:val="111827"/>
          <w:sz w:val="20"/>
        </w:rPr>
        <w:t xml:space="preserve">Vigencia.  </w:t>
      </w:r>
      <w:r>
        <w:rPr>
          <w:rFonts w:ascii="Calibri" w:hAnsi="Calibri" w:cs="Calibri"/>
          <w:b w:val="0"/>
          <w:i w:val="0"/>
          <w:color w:val="111827"/>
          <w:sz w:val="20"/>
        </w:rPr>
        <w:t>El presente Reglamento Interno entra en vigencia desde su fijación en lugar visible del centro de trabajo y la entrega de copia individual al personal con constancia de recepción, conforme al artículo 192 de la LOTTT.</w:t>
      </w:r>
    </w:p>
    <w:p>
      <w:pPr>
        <w:spacing w:before="80" w:after="60" w:line="312" w:lineRule="auto"/>
        <w:jc w:val="both"/>
      </w:pPr>
      <w:r>
        <w:rPr>
          <w:rFonts w:ascii="Calibri" w:hAnsi="Calibri" w:cs="Calibri"/>
          <w:b/>
          <w:i w:val="0"/>
          <w:color w:val="0F766E"/>
          <w:sz w:val="20"/>
        </w:rPr>
        <w:t xml:space="preserve">Art. 34.  </w:t>
      </w:r>
      <w:r>
        <w:rPr>
          <w:rFonts w:ascii="Calibri" w:hAnsi="Calibri" w:cs="Calibri"/>
          <w:b/>
          <w:i w:val="0"/>
          <w:color w:val="111827"/>
          <w:sz w:val="20"/>
        </w:rPr>
        <w:t xml:space="preserve">Revisión.  </w:t>
      </w:r>
      <w:r>
        <w:rPr>
          <w:rFonts w:ascii="Calibri" w:hAnsi="Calibri" w:cs="Calibri"/>
          <w:b w:val="0"/>
          <w:i w:val="0"/>
          <w:color w:val="111827"/>
          <w:sz w:val="20"/>
        </w:rPr>
        <w:t>El presente Reglamento será revisado anualmente, o cuando modifiquen las leyes aplicables o las condiciones operativas de LA EMPRESA. Las modificaciones serán notificadas conforme al artículo 4 del presente Reglamento.</w:t>
      </w:r>
    </w:p>
    <w:p>
      <w:pPr>
        <w:spacing w:before="80" w:after="60" w:line="312" w:lineRule="auto"/>
        <w:jc w:val="both"/>
      </w:pPr>
      <w:r>
        <w:rPr>
          <w:rFonts w:ascii="Calibri" w:hAnsi="Calibri" w:cs="Calibri"/>
          <w:b/>
          <w:i w:val="0"/>
          <w:color w:val="0F766E"/>
          <w:sz w:val="20"/>
        </w:rPr>
        <w:t xml:space="preserve">Art. 35.  </w:t>
      </w:r>
      <w:r>
        <w:rPr>
          <w:rFonts w:ascii="Calibri" w:hAnsi="Calibri" w:cs="Calibri"/>
          <w:b/>
          <w:i w:val="0"/>
          <w:color w:val="111827"/>
          <w:sz w:val="20"/>
        </w:rPr>
        <w:t xml:space="preserve">Prevalencia legal.  </w:t>
      </w:r>
      <w:r>
        <w:rPr>
          <w:rFonts w:ascii="Calibri" w:hAnsi="Calibri" w:cs="Calibri"/>
          <w:b w:val="0"/>
          <w:i w:val="0"/>
          <w:color w:val="111827"/>
          <w:sz w:val="20"/>
        </w:rPr>
        <w:t>Las cláusulas del presente Reglamento se interpretarán en armonía con la Constitución, la LOTTT, la LOPCYMAT, la LOPDP y demás leyes aplicables. En caso de conflicto, prevalecerá la norma más favorable al trabajador(a), conforme al principio in dubio pro operario.</w:t>
      </w:r>
    </w:p>
    <w:p>
      <w:pPr>
        <w:spacing w:before="80" w:after="60" w:line="312" w:lineRule="auto"/>
        <w:jc w:val="both"/>
      </w:pPr>
      <w:r>
        <w:rPr>
          <w:rFonts w:ascii="Calibri" w:hAnsi="Calibri" w:cs="Calibri"/>
          <w:b/>
          <w:i w:val="0"/>
          <w:color w:val="0F766E"/>
          <w:sz w:val="20"/>
        </w:rPr>
        <w:t xml:space="preserve">Art. 36.  </w:t>
      </w:r>
      <w:r>
        <w:rPr>
          <w:rFonts w:ascii="Calibri" w:hAnsi="Calibri" w:cs="Calibri"/>
          <w:b/>
          <w:i w:val="0"/>
          <w:color w:val="111827"/>
          <w:sz w:val="20"/>
        </w:rPr>
        <w:t xml:space="preserve">Documentos complementarios.  </w:t>
      </w:r>
      <w:r>
        <w:rPr>
          <w:rFonts w:ascii="Calibri" w:hAnsi="Calibri" w:cs="Calibri"/>
          <w:b w:val="0"/>
          <w:i w:val="0"/>
          <w:color w:val="111827"/>
          <w:sz w:val="20"/>
        </w:rPr>
        <w:t>Forman parte integrante del presente Reglamento: el Código de Conducta, la Política de Confidencialidad, la Política de Uso de Redes Sociales, los Protocolos Veterinarios (Bioseguridad, Sustancias Controladas, Mordeduras/Zoonosis y Reporte de Incidentes), la Cartilla de Bioseguridad y las Notificaciones de Riesgos por cargo, todos entregados al trabajador(a) contra firma de recepción.</w:t>
      </w:r>
    </w:p>
    <w:p>
      <w:pPr>
        <w:spacing w:before="80" w:after="60" w:line="312" w:lineRule="auto"/>
        <w:jc w:val="both"/>
      </w:pPr>
      <w:r>
        <w:rPr>
          <w:rFonts w:ascii="Calibri" w:hAnsi="Calibri" w:cs="Calibri"/>
          <w:b/>
          <w:i w:val="0"/>
          <w:color w:val="0F766E"/>
          <w:sz w:val="20"/>
        </w:rPr>
        <w:t xml:space="preserve">Art. 37.  </w:t>
      </w:r>
      <w:r>
        <w:rPr>
          <w:rFonts w:ascii="Calibri" w:hAnsi="Calibri" w:cs="Calibri"/>
          <w:b/>
          <w:i w:val="0"/>
          <w:color w:val="111827"/>
          <w:sz w:val="20"/>
        </w:rPr>
        <w:t xml:space="preserve">Publicación y difusión.  </w:t>
      </w:r>
      <w:r>
        <w:rPr>
          <w:rFonts w:ascii="Calibri" w:hAnsi="Calibri" w:cs="Calibri"/>
          <w:b w:val="0"/>
          <w:i w:val="0"/>
          <w:color w:val="111827"/>
          <w:sz w:val="20"/>
        </w:rPr>
        <w:t>El presente Reglamento será publicado en lugar visible del centro de trabajo, en la cartelera laboral y en el sistema informático de GRUPO CAVAL 1003, C.A. accesible al personal. Se entregará copia individual al momento del ingreso y cada vez que sean modificadas sus disposiciones. La Constancia de Recepción firmada por el trabajador(a) se archivará en su expediente personal por cinco (5) años conforme al artículo 183 de la LOTTT.</w:t>
      </w:r>
    </w:p>
    <w:p>
      <w:pPr>
        <w:spacing w:before="80" w:after="60" w:line="312" w:lineRule="auto"/>
        <w:jc w:val="both"/>
      </w:pPr>
      <w:r>
        <w:rPr>
          <w:rFonts w:ascii="Calibri" w:hAnsi="Calibri" w:cs="Calibri"/>
          <w:b/>
          <w:i w:val="0"/>
          <w:color w:val="0F766E"/>
          <w:sz w:val="20"/>
        </w:rPr>
        <w:t xml:space="preserve">Art. 38.  </w:t>
      </w:r>
      <w:r>
        <w:rPr>
          <w:rFonts w:ascii="Calibri" w:hAnsi="Calibri" w:cs="Calibri"/>
          <w:b/>
          <w:i w:val="0"/>
          <w:color w:val="111827"/>
          <w:sz w:val="20"/>
        </w:rPr>
        <w:t xml:space="preserve">Capacitación sobre el Reglamento.  </w:t>
      </w:r>
      <w:r>
        <w:rPr>
          <w:rFonts w:ascii="Calibri" w:hAnsi="Calibri" w:cs="Calibri"/>
          <w:b w:val="0"/>
          <w:i w:val="0"/>
          <w:color w:val="111827"/>
          <w:sz w:val="20"/>
        </w:rPr>
        <w:t>Al momento del ingreso, el nuevo personal recibirá una sesión de inducción de al menos una (1) hora sobre el contenido del presente Reglamento, a cargo del área de Recursos Humanos o de la Dirección. La capacitación se repetirá anualmente con énfasis en las modificaciones recientes.</w:t>
      </w:r>
    </w:p>
    <w:p>
      <w:pPr>
        <w:spacing w:before="80" w:after="60" w:line="312" w:lineRule="auto"/>
        <w:jc w:val="both"/>
      </w:pPr>
      <w:r>
        <w:rPr>
          <w:rFonts w:ascii="Calibri" w:hAnsi="Calibri" w:cs="Calibri"/>
          <w:b/>
          <w:i w:val="0"/>
          <w:color w:val="0F766E"/>
          <w:sz w:val="20"/>
        </w:rPr>
        <w:t xml:space="preserve">Art. 39.  </w:t>
      </w:r>
      <w:r>
        <w:rPr>
          <w:rFonts w:ascii="Calibri" w:hAnsi="Calibri" w:cs="Calibri"/>
          <w:b/>
          <w:i w:val="0"/>
          <w:color w:val="111827"/>
          <w:sz w:val="20"/>
        </w:rPr>
        <w:t xml:space="preserve">Consulta y aclaratorias.  </w:t>
      </w:r>
      <w:r>
        <w:rPr>
          <w:rFonts w:ascii="Calibri" w:hAnsi="Calibri" w:cs="Calibri"/>
          <w:b w:val="0"/>
          <w:i w:val="0"/>
          <w:color w:val="111827"/>
          <w:sz w:val="20"/>
        </w:rPr>
        <w:t>Cualquier duda sobre la interpretación del presente Reglamento será resuelta por la Dirección de Recursos Humanos. Las aclaratorias formales se emitirán por escrito y serán de aplicación general, incorporándose a la próxima revisión.</w:t>
      </w:r>
    </w:p>
    <w:p>
      <w:pPr>
        <w:spacing w:before="80" w:after="60" w:line="312" w:lineRule="auto"/>
        <w:jc w:val="both"/>
      </w:pPr>
      <w:r>
        <w:rPr>
          <w:rFonts w:ascii="Calibri" w:hAnsi="Calibri" w:cs="Calibri"/>
          <w:b/>
          <w:i w:val="0"/>
          <w:color w:val="0F766E"/>
          <w:sz w:val="20"/>
        </w:rPr>
        <w:t xml:space="preserve">Art. 40.  </w:t>
      </w:r>
      <w:r>
        <w:rPr>
          <w:rFonts w:ascii="Calibri" w:hAnsi="Calibri" w:cs="Calibri"/>
          <w:b/>
          <w:i w:val="0"/>
          <w:color w:val="111827"/>
          <w:sz w:val="20"/>
        </w:rPr>
        <w:t xml:space="preserve">Aprobación.  </w:t>
      </w:r>
      <w:r>
        <w:rPr>
          <w:rFonts w:ascii="Calibri" w:hAnsi="Calibri" w:cs="Calibri"/>
          <w:b w:val="0"/>
          <w:i w:val="0"/>
          <w:color w:val="111827"/>
          <w:sz w:val="20"/>
        </w:rPr>
        <w:t>Aprobado por la Junta Directiva de GRUPO CAVAL 1003, C.A. en sesión ordinaria, y firmado por la Directora Gerente en representación operativa de LA EMPRESA.</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«Reglamento Interno de Trabajo»,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Joxelina Jacqueline Serrano · C.I. V-14.058.904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