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PROTOCOLO MORDEDURAS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OMS / OIE — Profilaxis PEP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PROTOCOLO DE MORDEDURAS Y ZOONOSIS POST-EXPOSICIÓN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ÁMBITO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de atención inmediata ante mordeduras, arañazos y exposición a fluidos de animales en el personal de LA EMPRESA, conforme a los lineamientos de la Organización Mundial de la Salud (OMS), la Organización Mundial de Sanidad Animal (OIE), el Ministerio del Poder Popular para la Salud y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Ámbito.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personal, en especial al médico veterinario, auxiliar veterinario y dog groomer, así como a cualquier trabajador(a) que sufra exposición ocupacional a mordedura, arañazo o fluido de animal.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CLASIFICACIÓN DE LA EXPOSICIÓN — OMS/OIE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Categorías.  </w:t>
      </w:r>
      <w:r>
        <w:rPr>
          <w:rFonts w:ascii="Calibri" w:hAnsi="Calibri" w:cs="Calibri"/>
          <w:b w:val="0"/>
          <w:i w:val="0"/>
          <w:color w:val="111827"/>
          <w:sz w:val="20"/>
        </w:rPr>
        <w:t>La OMS clasifica la exposición a material potencialmente rábico en cuatro tipos: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95"/>
        <w:gridCol w:w="4706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47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1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Tocar, alimentar o lamido de piel intacta (sin lesión)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manos. No requiere PEP. Vigilar animal 10 días.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2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superficial sin sangrado, lamido de piel lesionada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con jabón. PEP según estado animal. Vigilar 10 días.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3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única o múltiples con sangrado, lamido de mucosa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antiséptico. PEP COMPLETO (vacuna + IGAR).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4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Exposición grave: mordedura cabeza/cuello/mano, animal rábico confirmado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IGAR + vacuna regimen Essen completo + serología.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INMEDIATO — 8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 inmediata.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mordedura, arañazo o salpicadura de fluido en mucosa o piel lesionada, se aplican los siguientes OCHO (8) pasos: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Lavar inmediatamente la herida con agua y jabón durante 15 minutos, sangrando la herida si es posible.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antiséptico: alcohol 70% o povidona yodada.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Cubrir la herida con apósito estéril limpio. NO suturar en caso de mordedura (riesgo de infección).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exposición (Anexo B).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Clasificar la exposición (Tipo 1-4) según Capítulo II.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antirrábico o al IVSS-PMSSO para evaluación y PEP.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Investigar al animal mordedor (vacunación, procedencia, comportamiento) y completar esquema PEP si corresponde.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DEL ANIMAL MORDEDOR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Casos posibles.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manejo del animal mordedor depende de su estatus sanitario y procedencia: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está vacunado y sin signos: observación veterinaria durante 10 días. Si continúa sano, no se indica PEP. Si enferma o muere, se inicia PEP completo y se envía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no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NO está vacunado o vacuna dudosa: iniciar PEP inmediatamente y observar 10 días. Si enferma o muere, enviar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callejero:  </w:t>
      </w:r>
      <w:r>
        <w:rPr>
          <w:rFonts w:ascii="Calibri" w:hAnsi="Calibri" w:cs="Calibri"/>
          <w:b w:val="0"/>
          <w:i w:val="0"/>
          <w:color w:val="111827"/>
          <w:sz w:val="20"/>
        </w:rPr>
        <w:t>Capturar si es posible y observar 10 días. Si no se captura, iniciar PEP completo inmediatamente.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muerto o sacrificado: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muerte o sacrificio del animal sospechoso: enviar la cabeza refrigerada (NO congelada) al Instituto Nacional de Higiene Rafael Rangel (INHRR) para prueba de inmunofluorescencia.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de alerta en el animal mordedor.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identificar signos compatibles con rabia en el animal mordedor: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Cambio brusco de conducta (agresividad inusual o excesiva afectividad).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Parálisis progresiva: mandíbula caída, dificultad para tragar, salivación abundante.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Fotofobia, hidrofobia, incoordinación, convulsiones.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 sin provocación, destrucción de objetos, vagabundeo.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Muerte en un plazo de 5 a 10 días desde la aparición de signos.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Ante cualquiera de estos signos, el animal se considera sospechoso de rabia. Se notifica inmediatamente al MPPS / Servicio Autónomo de Salud Animal (SASA) y se inicia PEP completo en el personal expuesto.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Sacrificio humanitario y envío de muestra.  </w:t>
      </w:r>
      <w:r>
        <w:rPr>
          <w:rFonts w:ascii="Calibri" w:hAnsi="Calibri" w:cs="Calibri"/>
          <w:b w:val="0"/>
          <w:i w:val="0"/>
          <w:color w:val="111827"/>
          <w:sz w:val="20"/>
        </w:rPr>
        <w:t>Si el animal muere o se sacrifica por indicación del MV o de la autoridad sanitaria, se procede así: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Sacrificio humanitario por MV con método compatible con bienestar animal (pentobarbital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Decapitación aséptica con EPP completo (doble guante, N95, gafas, bata impermeable).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la cabeza en bolsa estéril, rotular con fecha, especie, número de caso.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Refrigerar a 4°C (NO congelar). Enviar al INHRR en un máximo de 24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Acompañar con ficha epidemiológica del caso y del personal expuesto.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cuarentena del área hasta recibir resultado negativo.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ESQUEMA PEP — ESSEN (OMS)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ESQUEMA PEP ESSEN — DÍAS 0, 3, 7, 14, 28 + IGAR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profilaxis post-exposición (PEP) antirrábica conforme al esquema Essen de la OMS: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0: 1ra dosis + IGAR (Inmunoglobulina Antirrábica) si Tipo 3 o 4 (20 UI/kg, mitad perilesional, mitad IM)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3: 2da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7: 3ra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14: 4ta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28: 5ta dosis (algunos esquemas OMS omiten esta última)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Vía intradérmica (ID) o intramuscular (IM) en deltoides (adultos) o cara anterolateral del muslo (niños).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Tétanos: refuerzo si &gt;5 años sin vacuna. Antibioticoterapia: amoxicilina/ácido clavulánico 7-10 días.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 de vacunación.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esquema Essen se aplica en los días 0, 3, 7, 14 y 28, con vacuna antirrábica de cultivo celular (Verorab, Rabipur). En exposiciones Tipo 3 y 4 se adiciona IGAR (inmunoglobulina antirrábica) el día 0.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Esquemas alternativos aprobados por la OMS.  </w:t>
      </w:r>
      <w:r>
        <w:rPr>
          <w:rFonts w:ascii="Calibri" w:hAnsi="Calibri" w:cs="Calibri"/>
          <w:b w:val="0"/>
          <w:i w:val="0"/>
          <w:color w:val="111827"/>
          <w:sz w:val="20"/>
        </w:rPr>
        <w:t>Como alternativa al esquema Essen clásico de 5 dosis, la OMS ha aprobado los siguientes esquemas abreviados: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Esquema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Días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clásico IM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14, 28 (5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 dosis IM por visita. Adultos en deltoides; niños en muslo anterolateral.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abreviado ID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 (3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por visita. Aprobado OMS 2018. Menor cantidad de vacuna.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IPC (Institut Pasteur de Cambodia) ID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en cada visita. Eficacia equivalente al Essen clásico.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2-sites ID (Thai Red Cross)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ID. Reduce a 4 visitas.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IGAR — Inmunoglobulina Antirrábica.  </w:t>
      </w:r>
      <w:r>
        <w:rPr>
          <w:rFonts w:ascii="Calibri" w:hAnsi="Calibri" w:cs="Calibri"/>
          <w:b w:val="0"/>
          <w:i w:val="0"/>
          <w:color w:val="111827"/>
          <w:sz w:val="20"/>
        </w:rPr>
        <w:t>La IGAR se aplica únicamente en exposiciones Tipo 3 y 4, en el DÍA 0 (y preferiblemente antes de las 7 horas post-exposición). Dosis: 20 UI/kg. La mitad se infiltra alrededor y dentro de la herida (perilesional), la otra mitad se aplica intramuscular en glúteo o muslo. Si la herida es muy pequeña o en dedos, se infilttra lo posible perilesional y el resto IM. NO se aplica IGAR si el trabajador(a) ya recibió vacuna pre-exposición completa.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OTRAS ZOONOSIS POST-EXPOSICIÓN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Vigilancia.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rabia, el personal con mordedura debe vigilarse por otras zoonosis: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118"/>
        <w:gridCol w:w="3402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Zoonosis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Periodo incubación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Signos alerta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Leptospirosis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5-14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Fiebre, cefalea, mialgia, ictericia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Doxiciclina 100 mg/12h × 7 días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Toxoplasmosis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5-18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Adenopatías, fiebre, fatiga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 IgM, espiramicina si embarazo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Brucelosis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1-3 semanas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 ondulante, sudores, artralgias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Serología, rifampicina + doxiciclina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Pasteurelosis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24-72 horas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Celulitis, absceso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Amoxicilina/ácido clavulánico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Capnocytophaga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3-7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Sepsis, especialmente inmunodeprimidos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Hospitalización, IV ceftriaxona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Tétanos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3-21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Trismo, rigidez, opistótonos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 + inmunoglobulina antitetánica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REGISTRO E INVESTIGACIÓN DE CAUSA RAÍZ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Investigación.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incidente de mordedura se investiga para identificar la causa raíz: falla de sujeción, ausencia de sedación, falta de EPP, defecto de procedimiento, presencia de terceros, etc. La investigación la realiza el Comité SST con apoyo del MV tratante y genera un plan de acción documentado.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Reposo y cobertura.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accidentado tiene derecho a reposo médico según orden del centro asistencial del IVSS-PMSSO. La atención médica, medicamentos e indemnización por accidente de trabajo se cubren conforme al Seguro Social Obligatorio y a la LOPCYMAT (arts. 56, 73, 130 y siguientes).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 al denunciante.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26 de la LOPCYMAT, queda prohibida cualquier represalia contra el trabajador(a) que reporte una mordedura o exposición. El reporte oportuno es un derecho y un deber, no constituye falta disciplinaria.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DIRECTORIO Y CENTROS DE REFERENCIA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Centros antirrábicos y de referencia.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exposición ocupacional, el personal será canalizado a los siguientes centros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3005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Centro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Función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Aplicación de PEP antirrábica (vacuna + IGAR)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 'Rafael Rangel' (INHRR)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Diagnóstico de rabia por inmunofluorescencia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envío de muestras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del IVSS-PMSSO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lesiones, antibioticoterapia, reposo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Designado por el PMSSO del trabajador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'Domingo Luciani' (El Llanito)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heridas graves, cirugía plástica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 nacional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'Pérez de León' (Petare)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mordeduras graves en cara y manos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 — División de Protección Animal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Investigación de animales agresores sin dueño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Sede CICPC Miranda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SASA — Servicio Autónomo de Salud Animal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rabia animal, vigilancia epidemiológica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MPPS — sede Caracas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interno, acompañamiento al trabajador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Internos de la empresa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Documentación que debe portar el trabajador(a).  </w:t>
      </w:r>
      <w:r>
        <w:rPr>
          <w:rFonts w:ascii="Calibri" w:hAnsi="Calibri" w:cs="Calibri"/>
          <w:b w:val="0"/>
          <w:i w:val="0"/>
          <w:color w:val="111827"/>
          <w:sz w:val="20"/>
        </w:rPr>
        <w:t>Al acudir al centro de referencia, el trabajador(a) debe portar: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y carnet del IVSS /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Constancia de trabajo emitida por LA EMPRESA (con cargo y antigüedad).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Formulario de Reporte de Exposición (Anexo B) completado.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Carnet de vacunación antirrábica pre-exposición (si lo posee).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Información sobre el animal mordedor: especie, raza, vacunación, procedencia, estado actual.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B — FORMULARIO DE REPORTE DE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4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 la exposición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del incidente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 expuesto(a) / C.I. / Cargo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exposición (mordedura, arañazo, salpicadura mucosa)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OMS (1, 2, 3, 4)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Localización anatómica de la herida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 la herida (profundidad, sangrado)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Animal mordedor (especie, raza, edad, sexo)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Procedencia (doméstico vacunado, no vacunado, callejero)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Estado sanitario del animal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Destino del animal (observación, sacrificio, escapó)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la herida (duración, antiséptico)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Atención médica recibida (centro, médico)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indicado (vacuna, IGAR, antibiótico, antitetánica)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Investigación causa raíz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trabajador(a)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supervisor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MV tratante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«Protocolo de Mordeduras y Zoonosis Post-Exposición»,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Joxelina Jacqueline Serrano · C.I. V-14.058.904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