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CARTILLA DE BIOSEGURIDAD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Norma NT-01-2008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CARTILLA DE BIOSEGURIDAD VETERINARIA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La presente Cartilla establece los lineamientos de bioseguridad aplicables a todo el personal de GRUPO CAVAL 1003, C.A. (marca ALIKA PETS), conforme a la Norma Técnica NT-01-2008 del Instituto Nacional de Prevención, Salud y Seguridad Laborales (INPSASEL), la LOPCYMAT, la Ley de Ejercicio de la Medicina Veterinaria y los lineamientos de la Organización Mundial de Sanidad Animal (OMS/OIE). Su cumplimiento es OBLIGATORIO para proteger la salud del personal, de los pacientes y del público usuario.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PRINCIPIOS DE BIOSEGURIDAD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Universalidad.  </w:t>
      </w:r>
      <w:r>
        <w:rPr>
          <w:rFonts w:ascii="Calibri" w:hAnsi="Calibri" w:cs="Calibri"/>
          <w:b w:val="0"/>
          <w:i w:val="0"/>
          <w:color w:val="111827"/>
          <w:sz w:val="20"/>
        </w:rPr>
        <w:t>Todo paciente y todo fluido biológico deben considerarse potencialmente infecciosos. Las medidas de bioseguridad se aplican a todos los procedimientos con animales, independientemente de su estado de salud aparente.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Uso de barreras.  </w:t>
      </w:r>
      <w:r>
        <w:rPr>
          <w:rFonts w:ascii="Calibri" w:hAnsi="Calibri" w:cs="Calibri"/>
          <w:b w:val="0"/>
          <w:i w:val="0"/>
          <w:color w:val="111827"/>
          <w:sz w:val="20"/>
        </w:rPr>
        <w:t>El uso de elementos de protección personal (EPP) es obligatorio. La selección del EPP depende del procedimiento y del riesgo evaluado. El EPP NO sustituye las medidas de control de ingeniería ni las prácticas seguras.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Medios de eliminación.  </w:t>
      </w:r>
      <w:r>
        <w:rPr>
          <w:rFonts w:ascii="Calibri" w:hAnsi="Calibri" w:cs="Calibri"/>
          <w:b w:val="0"/>
          <w:i w:val="0"/>
          <w:color w:val="111827"/>
          <w:sz w:val="20"/>
        </w:rPr>
        <w:t>Todo material contaminado debe eliminarse conforme a la Norma COVENIN 2747-93 sobre Manejo de Residuos en Establecimientos de Salud. Se prohíbe la manipulación manual de residuos cortopunzantes.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Reducción de riesgos.  </w:t>
      </w:r>
      <w:r>
        <w:rPr>
          <w:rFonts w:ascii="Calibri" w:hAnsi="Calibri" w:cs="Calibri"/>
          <w:b w:val="0"/>
          <w:i w:val="0"/>
          <w:color w:val="111827"/>
          <w:sz w:val="20"/>
        </w:rPr>
        <w:t>Toda exposición a agentes biológicos, físicos o químicos debe minimizarse mediante controles de ingeniería, prácticas seguras y EPP, en este orden jerárquico.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VÍAS DE TRANSMISIÓN DE ENFERMEDADES ZOONÓTICAS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Clasificación.  </w:t>
      </w:r>
      <w:r>
        <w:rPr>
          <w:rFonts w:ascii="Calibri" w:hAnsi="Calibri" w:cs="Calibri"/>
          <w:b w:val="0"/>
          <w:i w:val="0"/>
          <w:color w:val="111827"/>
          <w:sz w:val="20"/>
        </w:rPr>
        <w:t>Las principales vías de transmisión de zoonosis en el medio veterinario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Directa:  </w:t>
      </w:r>
      <w:r>
        <w:rPr>
          <w:rFonts w:ascii="Calibri" w:hAnsi="Calibri" w:cs="Calibri"/>
          <w:b w:val="0"/>
          <w:i w:val="0"/>
          <w:color w:val="111827"/>
          <w:sz w:val="20"/>
        </w:rPr>
        <w:t>Contacto directo con el animal, sus fluidos o secreciones (mordedura, arañazo, lamido de mucosas).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Indirecta:  </w:t>
      </w:r>
      <w:r>
        <w:rPr>
          <w:rFonts w:ascii="Calibri" w:hAnsi="Calibri" w:cs="Calibri"/>
          <w:b w:val="0"/>
          <w:i w:val="0"/>
          <w:color w:val="111827"/>
          <w:sz w:val="20"/>
        </w:rPr>
        <w:t>Contacto con fómites (instrumental, camas, jaulas, superficies) contaminados.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Aérea:  </w:t>
      </w:r>
      <w:r>
        <w:rPr>
          <w:rFonts w:ascii="Calibri" w:hAnsi="Calibri" w:cs="Calibri"/>
          <w:b w:val="0"/>
          <w:i w:val="0"/>
          <w:color w:val="111827"/>
          <w:sz w:val="20"/>
        </w:rPr>
        <w:t>Inhalación de aerosoles generados por tos, estornudos o procedimientos (ecografía, limpieza).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Oral/Vectorial:  </w:t>
      </w:r>
      <w:r>
        <w:rPr>
          <w:rFonts w:ascii="Calibri" w:hAnsi="Calibri" w:cs="Calibri"/>
          <w:b w:val="0"/>
          <w:i w:val="0"/>
          <w:color w:val="111827"/>
          <w:sz w:val="20"/>
        </w:rPr>
        <w:t>Ingesta accidental (manos contaminadas llevadas a la boca) o por vectores (garrapatas, mosquitos, flebótomos).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Percutánea:  </w:t>
      </w:r>
      <w:r>
        <w:rPr>
          <w:rFonts w:ascii="Calibri" w:hAnsi="Calibri" w:cs="Calibri"/>
          <w:b w:val="0"/>
          <w:i w:val="0"/>
          <w:color w:val="111827"/>
          <w:sz w:val="20"/>
        </w:rPr>
        <w:t>Percutánea por pinchazos con agujas, bisturíes, garras, dientes o mordeduras.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Factores que aumentan el riesgo.  </w:t>
      </w:r>
      <w:r>
        <w:rPr>
          <w:rFonts w:ascii="Calibri" w:hAnsi="Calibri" w:cs="Calibri"/>
          <w:b w:val="0"/>
          <w:i w:val="0"/>
          <w:color w:val="111827"/>
          <w:sz w:val="20"/>
        </w:rPr>
        <w:t>Se consideran factores agravantes del riesgo de transmisión: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Trabajador(a) sin esquema completo de vacunación (antirrábica, hepatitis B, tétanos).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Inmunosupresión: embarazo, lactancia, VIH, diabetes, tratamiento inmunosupresor, trasplantes.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Heridas abiertas o dermatitis en manos y antebrazos sin protección.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Ausencia o uso incorrecto de EPP.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Procedimientos sin sedación en animales agresivos o estresados.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Manipulación de animales sin historia clínica o sin esquema vacunal conocido.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Mala higiene de manos entre pacientes y entre procedimientos.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Acumulación de residuos biomédicos sin descarte oportuno.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Medidas generales de bloqueo de transmisión.  </w:t>
      </w:r>
      <w:r>
        <w:rPr>
          <w:rFonts w:ascii="Calibri" w:hAnsi="Calibri" w:cs="Calibri"/>
          <w:b w:val="0"/>
          <w:i w:val="0"/>
          <w:color w:val="111827"/>
          <w:sz w:val="20"/>
        </w:rPr>
        <w:t>Para interrumpir la cadena de transmisión se aplican las siguientes medidas: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Lavado de manos en los 5 momentos OMS (ver Capítulo 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Uso de EPP específico por procedimiento (ver Capítulo IV).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Desinfección y esterilización de instrumental entre pacientes (ver Capítulo VIII).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Aislamiento de animales con sospecha de zoonosis en área designada.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Señalización visual de áreas con riesgo biológico.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correcto de residuos según COVENIN 2747-93 (ver Capítulo VII).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Vacunación del personal y vigilancia médica periódica (NT-02-2008).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Reporte inmediato de cualquier accidente o exposición (Art. 73 LOPCYMAT).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II.b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NIVELES DE BIOSEGURIDAD APLICABLES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 de niveles.  </w:t>
      </w:r>
      <w:r>
        <w:rPr>
          <w:rFonts w:ascii="Calibri" w:hAnsi="Calibri" w:cs="Calibri"/>
          <w:b w:val="0"/>
          <w:i w:val="0"/>
          <w:color w:val="111827"/>
          <w:sz w:val="20"/>
        </w:rPr>
        <w:t>Adaptando los niveles de bioseguridad del CDC y OMS al medio veterinario, se establecen los siguientes cuatro niveles operativos en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721"/>
        <w:gridCol w:w="2494"/>
        <w:gridCol w:w="3969"/>
      </w:tblGrid>
      <w:tr>
        <w:tc>
          <w:tcPr>
            <w:tcW w:type="dxa" w:w="68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Nivel</w:t>
            </w:r>
          </w:p>
        </w:tc>
        <w:tc>
          <w:tcPr>
            <w:tcW w:type="dxa" w:w="272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Tipo de agente</w:t>
            </w:r>
          </w:p>
        </w:tc>
        <w:tc>
          <w:tcPr>
            <w:tcW w:type="dxa" w:w="249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Áreas</w:t>
            </w:r>
          </w:p>
        </w:tc>
        <w:tc>
          <w:tcPr>
            <w:tcW w:type="dxa" w:w="39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Prácticas mínimas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NB-1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no patógenos / baja riesgo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Recepción, tienda, áreas comunes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 de manos, EPP básico, desinfección de superficies</w:t>
            </w:r>
          </w:p>
        </w:tc>
      </w:tr>
      <w:tr>
        <w:tc>
          <w:tcPr>
            <w:tcW w:type="dxa" w:w="68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NB-2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de riesgo moderado (zoonosis comunes)</w:t>
            </w:r>
          </w:p>
        </w:tc>
        <w:tc>
          <w:tcPr>
            <w:tcW w:type="dxa" w:w="24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Consulta, hospitalización, peluquería</w:t>
            </w:r>
          </w:p>
        </w:tc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Bata, guantes, señalética, contenedor cortopunzantes, EPP específico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NB-3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de alto riesgo (rabia, brucelosis, leptospirosis)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Quirófano, sala de necropsias, aislamiento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Doble guante, N95, gafas, bata impermeable, control de aerosoles</w:t>
            </w:r>
          </w:p>
        </w:tc>
      </w:tr>
      <w:tr>
        <w:tc>
          <w:tcPr>
            <w:tcW w:type="dxa" w:w="68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NB-4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letales / emergentes</w:t>
            </w:r>
          </w:p>
        </w:tc>
        <w:tc>
          <w:tcPr>
            <w:tcW w:type="dxa" w:w="24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NO disponible en LA EMPRESA — derivar a centro especializado</w:t>
            </w:r>
          </w:p>
        </w:tc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Prohibido manipular; reportar al MPPS y canalizar a RAV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ZOONOSIS RELEVANTES EN VENEZUELA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Enfermedades endémicas.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debe conocer las principales zoonosis presentes en Venezuela y sus medidas de prevención: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814"/>
        <w:gridCol w:w="1984"/>
        <w:gridCol w:w="1587"/>
        <w:gridCol w:w="2721"/>
      </w:tblGrid>
      <w:tr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Zoonosis</w:t>
            </w:r>
          </w:p>
        </w:tc>
        <w:tc>
          <w:tcPr>
            <w:tcW w:type="dxa" w:w="181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Agente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Reservorio</w:t>
            </w:r>
          </w:p>
        </w:tc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Vía</w:t>
            </w:r>
          </w:p>
        </w:tc>
        <w:tc>
          <w:tcPr>
            <w:tcW w:type="dxa" w:w="272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Rabia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Virus (Lisavirus)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gatos, quirópticos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Mordedura, saliva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Vacunación pre-exposición 3 dosis + PEP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(Leptospira)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Roedores, perros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con orina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EPP, control de roedores, doxiciclina profiláctica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Toxoplasmosis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Protozoo (T. gondii)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Felinos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Heces, ingestión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 manos, guantes al limpiar arenero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(Brucella)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Bovinos, caprinos, caninos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fluidos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EPP en abortos, vacunación animales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Tiña (Dermatofitosis)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Hongos (Microsporum)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piel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Guantes, lavado manos, desinfección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Sarna sarcóptica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Ácaro (Sarcoptes)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zorros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piel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Guantes, bata, lavado ropa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Campilobacteriosis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(C. jejuni)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Aves, 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Vía fecal-oral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EPP, no comer en áreas clínicas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Salmonelosis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(Salmonella)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Reptiles, aves, perros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Vía fecal-oral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EPP, desinfección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Toxocariasis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Nemátodo (T. canis)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Ingesta de huevos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desparasitación, EPP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Fichas clínicas de zoonosis prioritarias.  </w:t>
      </w:r>
      <w:r>
        <w:rPr>
          <w:rFonts w:ascii="Calibri" w:hAnsi="Calibri" w:cs="Calibri"/>
          <w:b w:val="0"/>
          <w:i w:val="0"/>
          <w:color w:val="111827"/>
          <w:sz w:val="20"/>
        </w:rPr>
        <w:t>Las siguientes fichas resumen signos en humanos y acciones inmediatas: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Rabia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1-3 meses (puede llegar a 1 año).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Parestesia en sitio de mordedura, fiebre, hidrofobia, aerofobia, delirio, parálisis, muerte.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PEP inmediato según Tipo 1-4 OMS. Lavado 15 min + vacuna + IGAR. Vigilar animal mordedor 10 días.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Leptospirosis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5-14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Fiebre bifásica, cefalea, mialgia (pantorrillas), ictericia, insuficiencia renal (síndrome de Weil).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IgM, doxiciclina 100 mg/12h × 7 días. Hospitalizar si ictericia o falla renal.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Toxoplasmosis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5-18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Adenopatías cervicales, fiebre, fatiga, mialgia. Peligroso en embarazadas (transmisión transplacentaria) e inmunodeprimidos.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IgG/IgM, espiramicina si embarazo, sulfadiazina + pirimetamina si inmunodeprimido.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Brucelosis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1-3 semanas.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Fiebre ondulante, sudores profusos, artralgias, astenia, hepatosplenomegalia.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(Rose Bengal, Wright), rifampicina 900 mg/día + doxiciclina 100 mg/12h × 6 semanas.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Tiña / Dermatofitosis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4-10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Lesiones anulares eritematoescamosas pruriginosas en piel expuesta (manos, antebrazos, cuello).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Examen micológico. Terapéutica tópica (clotrimazol) o sistémica (terbinafina, itraconazol).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Sarna sarcóptica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1-2 semanas (primer contagio); 1-3 días si reinfección.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Prurito intenso nocturno, surcos acarinos, pápulas en espacios interdigitales, muñecas, cintura.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Permetrina 5% tópica, ivermectina oral. Lavar ropa de cama a 60°C. Tratar animales.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EQUIPOS DE PROTECCIÓN PERSONAL POR PROCEDIMIENTO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Selección del EPP.  </w:t>
      </w:r>
      <w:r>
        <w:rPr>
          <w:rFonts w:ascii="Calibri" w:hAnsi="Calibri" w:cs="Calibri"/>
          <w:b w:val="0"/>
          <w:i w:val="0"/>
          <w:color w:val="111827"/>
          <w:sz w:val="20"/>
        </w:rPr>
        <w:t>Cada procedimiento requiere un EPP específico. La siguiente tabla establece el EPP obligatorio según el tipo de procedimiento: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690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Procedimiento</w:t>
            </w:r>
          </w:p>
        </w:tc>
        <w:tc>
          <w:tcPr>
            <w:tcW w:type="dxa" w:w="669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obligatorio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Consulta clínica general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mascarilla quirúrgica (si tos/estornudo animal)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Vacunación y aplicación de inyectables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contenedor cortopunzantes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Toma de muestras (sangre, heces, orina)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mascarilla quirúrgica, gafas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Cirugía mayor (laparotomía, OVH)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quirúrgica estéril, guantes estériles, mascarilla, gafas, gorro, campo estéril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Cirugía menor (sutura herida, drenaje)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estériles, mascarilla quirúrgica, gafas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Odontología veterinaria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con visera, gafas, gorro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Eutanasia y necropsia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impermeable, doble guante, mascarilla N95, gafas selladas, gorro, botas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Peluquería canina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guantes de nitrilo, mascarilla quirúrgica, gafas (si salpicaduras)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Limpieza de jaulas y áreas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de goma largos, mascarilla, botas, delantal impermeable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Manejo de animal sospechoso de rabia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impermeable, doble guante, mascarilla N95, gafas, gorro, botas — NUNCA solo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CINCO MOMENTOS OMS PARA LA HIGIENE DE MANOS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Momentos OMS.  </w:t>
      </w:r>
      <w:r>
        <w:rPr>
          <w:rFonts w:ascii="Calibri" w:hAnsi="Calibri" w:cs="Calibri"/>
          <w:b w:val="0"/>
          <w:i w:val="0"/>
          <w:color w:val="111827"/>
          <w:sz w:val="20"/>
        </w:rPr>
        <w:t>Adaptado al medio veterinario, la higiene de manos debe realizarse en los siguientes cinco momentos: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1.  </w:t>
      </w:r>
      <w:r>
        <w:rPr>
          <w:rFonts w:ascii="Calibri" w:hAnsi="Calibri" w:cs="Calibri"/>
          <w:b w:val="0"/>
          <w:i w:val="0"/>
          <w:color w:val="111827"/>
          <w:sz w:val="20"/>
        </w:rPr>
        <w:t>Antes de tocar al paciente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2.  </w:t>
      </w:r>
      <w:r>
        <w:rPr>
          <w:rFonts w:ascii="Calibri" w:hAnsi="Calibri" w:cs="Calibri"/>
          <w:b w:val="0"/>
          <w:i w:val="0"/>
          <w:color w:val="111827"/>
          <w:sz w:val="20"/>
        </w:rPr>
        <w:t>Antes de procedimientos limpios/asépticos (inyección, curación, cirugía).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3.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 riesgo de exposición a fluidos corporales.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4.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 tocar al paciente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5.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del contacto con el entorno del paciente (jaula, camilla, instrumental).</w:t>
      </w:r>
    </w:p>
    <w:p>
      <w:pPr>
        <w:spacing w:before="4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La higiene se realiza con agua y jabón (40-60 seg) o con solución alcoholada (20-30 seg). La solución alcoholada NO sustituye el lavado cuando hay suciedad visible, exposición a esporas (Clostridium) o contacto con fluidos potencialmente infecciosos.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 CORTOPUNZANTES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Descarte inmediato.  </w:t>
      </w:r>
      <w:r>
        <w:rPr>
          <w:rFonts w:ascii="Calibri" w:hAnsi="Calibri" w:cs="Calibri"/>
          <w:b w:val="0"/>
          <w:i w:val="0"/>
          <w:color w:val="111827"/>
          <w:sz w:val="20"/>
        </w:rPr>
        <w:t>Toda aguja, bisturí, hoja, ampolla rota o material cortopunzante debe descartarse INMEDIATAMENTE después de su uso en el contenedor rígido rojo con símbolo de bioriesgo. Se prohíbe: reencapuchar agujas, doblarlas, romperlas, retirarlas con la mano o desecharlas en bolsas comunes.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cortopunzante.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accidente cortopunzante: lavar inmediatamente con agua y jabón, sangrar la herida, aplicar antiséptico (alcohol 70% o povidona), cubrir con apósito estéril y reportar al supervisor en un máximo de DOS (2) horas conforme al artículo 73 de la LOPCYMAT y al Protocolo de Mordeduras/Zoonosis.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 RESIDUOS — NORMA COVENIN 2747-93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 por color.  </w:t>
      </w:r>
      <w:r>
        <w:rPr>
          <w:rFonts w:ascii="Calibri" w:hAnsi="Calibri" w:cs="Calibri"/>
          <w:b w:val="0"/>
          <w:i w:val="0"/>
          <w:color w:val="111827"/>
          <w:sz w:val="20"/>
        </w:rPr>
        <w:t>Los residuos se separan por tipo en bolsas del color correspondiente: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551"/>
        <w:gridCol w:w="5669"/>
      </w:tblGrid>
      <w:tr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Color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 de residuo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ROJO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Biológicos / infecciosos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Gasas con sangre, tejidos, órganos, cultivos, vacunas vivas</w:t>
            </w:r>
          </w:p>
        </w:tc>
      </w:tr>
      <w:tr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AMARILLO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Cortopunzantes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Agujas, bisturíes, ampollas, lancetas (contenedor rígido)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NEGRO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Comunes / ordinarios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Papel, plástico no contaminado, restos de alimentos</w:t>
            </w:r>
          </w:p>
        </w:tc>
      </w:tr>
      <w:tr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VERDE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Reciclables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Cartón limpio, plástico de envases de medicamentos vacíos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GRIS / ESPECIAL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Químicos y farmacéuticos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Medicamentos vencidos, reactivos, anestésicos residuales</w:t>
            </w:r>
          </w:p>
        </w:tc>
      </w:tr>
    </w:tbl>
    <w:p>
      <w:pPr>
        <w:spacing w:after="80"/>
      </w:pPr>
    </w:p>
    <w:p>
      <w:pPr>
        <w:spacing w:before="4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Las bolsas se llenan hasta 80% de su capacidad, se cierran y rotulan con fecha y responsable. El depósito temporal interno no excederá 72 horas. La disposición final se realiza mediante empresa certificada por el MINEC.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DESINFECCIÓN Y ESTERILIZACIÓN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Niveles de desinfección.  </w:t>
      </w:r>
      <w:r>
        <w:rPr>
          <w:rFonts w:ascii="Calibri" w:hAnsi="Calibri" w:cs="Calibri"/>
          <w:b w:val="0"/>
          <w:i w:val="0"/>
          <w:color w:val="111827"/>
          <w:sz w:val="20"/>
        </w:rPr>
        <w:t>Los desinfectantes se utilizan según el nivel requerido: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Alto nivel (críticos - instrumental quirúrgico):  </w:t>
      </w:r>
      <w:r>
        <w:rPr>
          <w:rFonts w:ascii="Calibri" w:hAnsi="Calibri" w:cs="Calibri"/>
          <w:b w:val="0"/>
          <w:i w:val="0"/>
          <w:color w:val="111827"/>
          <w:sz w:val="20"/>
        </w:rPr>
        <w:t>Glutaraldehído al 2% (20 min), peróxido de hidrógeno 6% (30 min), ácido peracético.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Nivel medio (semicríticos - endoscopios, termómetros):  </w:t>
      </w:r>
      <w:r>
        <w:rPr>
          <w:rFonts w:ascii="Calibri" w:hAnsi="Calibri" w:cs="Calibri"/>
          <w:b w:val="0"/>
          <w:i w:val="0"/>
          <w:color w:val="111827"/>
          <w:sz w:val="20"/>
        </w:rPr>
        <w:t>Compuestos de amonio cuaternario, alcohol 70%, hipoclorito 1000 ppm.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Bajo nivel (no críticos - superficies, pisos):  </w:t>
      </w:r>
      <w:r>
        <w:rPr>
          <w:rFonts w:ascii="Calibri" w:hAnsi="Calibri" w:cs="Calibri"/>
          <w:b w:val="0"/>
          <w:i w:val="0"/>
          <w:color w:val="111827"/>
          <w:sz w:val="20"/>
        </w:rPr>
        <w:t>Detergente común, hipoclorito 200 ppm.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Esterilización.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instrumental quirúrgico se esteriliza preferentemente en autoclave (121°C, 15 psi, 20-30 min). Como alternativa se usa óxido de etileno o esterilización por radiación UV (limitada a superficies). Cada ciclo se controla con indicadores químicos y biológicos.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13b.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Diccionario de desinfectantes.  </w:t>
      </w:r>
      <w:r>
        <w:rPr>
          <w:rFonts w:ascii="Calibri" w:hAnsi="Calibri" w:cs="Calibri"/>
          <w:b w:val="0"/>
          <w:i w:val="0"/>
          <w:color w:val="111827"/>
          <w:sz w:val="20"/>
        </w:rPr>
        <w:t>La siguiente tabla resume los desinfectantes de uso habitual en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134"/>
        <w:gridCol w:w="5272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Desinfectante</w:t>
            </w:r>
          </w:p>
        </w:tc>
        <w:tc>
          <w:tcPr>
            <w:tcW w:type="dxa" w:w="141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Concentración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Tiempo</w:t>
            </w:r>
          </w:p>
        </w:tc>
        <w:tc>
          <w:tcPr>
            <w:tcW w:type="dxa" w:w="527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Uso / Notas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Alcohol etílico / isopropílico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70%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1-3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Piel, instrumental pequeño. Volátil, inflamable.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Hipoclorito de sodio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200-1000 ppm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10-30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Superficies, pisos, derrames de sangre. Inactivado por materia orgánica.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Glutaraldehído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20-45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Irritante vías respiratorias. Usar en cámara cerrada.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Amonio cuaternario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0.5-2%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5-10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Superficies no metálicas. Incompatible con jabones aniónicos.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Peróxido de hidrógeno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3-6%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30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Material oxidante. Acción contra esporas.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Ácido peracético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0.2-0.35%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10-15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Esterilizante en frio para endoscopios.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Povidona yodada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1-5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Antiséptico piel y mucosas. Baja actividad contra esporas.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Clorhexidina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2-4%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1-3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Antiséptico piel. Persistente, no irritante.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UV-C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254 nm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30-60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Aire y superficies. No usar en presencia de personal (daño ocular).</w:t>
            </w:r>
          </w:p>
        </w:tc>
      </w:tr>
    </w:tbl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B91C1C"/>
          <w:sz w:val="18"/>
        </w:rPr>
        <w:t>Advertencia: NUNCA mezclar desinfectantes (especialmente hipoclorito con amoníaco o ácidos) — genera gases tóxicos. Conservar en envases originales etiquetados, fuera del alcance de animales y fuera de alimentos.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PREVENCIÓN DE MORDEDURAS Y ARañAZOS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Principios.  </w:t>
      </w:r>
      <w:r>
        <w:rPr>
          <w:rFonts w:ascii="Calibri" w:hAnsi="Calibri" w:cs="Calibri"/>
          <w:b w:val="0"/>
          <w:i w:val="0"/>
          <w:color w:val="111827"/>
          <w:sz w:val="20"/>
        </w:rPr>
        <w:t>Toda manipulación de animal se realiza con sujeción adecuada (bozal, toalla, campana, lazo) y, cuando sea necesario, con sedación. Se prohíbe: realizar procedimientos en animales no sedados que muestren agresividad, trabajar solo con animales peligrosos, y no reportar incidentes.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Protección.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usará guantes de cuero largos para manejo de animales agresivos o no conocidos. La sujeción química (sedación) se prefiere siempre que el estado clínico del animal lo permita.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PROFILAXIS DEL PERSONAL VETERINARIO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Vacunación obligatoria.  </w:t>
      </w:r>
      <w:r>
        <w:rPr>
          <w:rFonts w:ascii="Calibri" w:hAnsi="Calibri" w:cs="Calibri"/>
          <w:b w:val="0"/>
          <w:i w:val="0"/>
          <w:color w:val="111827"/>
          <w:sz w:val="20"/>
        </w:rPr>
        <w:t>Todo el personal veterinario y auxiliar debe mantener esquema completo de: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Rabia:  </w:t>
      </w:r>
      <w:r>
        <w:rPr>
          <w:rFonts w:ascii="Calibri" w:hAnsi="Calibri" w:cs="Calibri"/>
          <w:b w:val="0"/>
          <w:i w:val="0"/>
          <w:color w:val="111827"/>
          <w:sz w:val="20"/>
        </w:rPr>
        <w:t>Antirrábica pre-exposición: 3 dosis (días 0, 7, 21) + titulación cada 2 años.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Tétanos:  </w:t>
      </w:r>
      <w:r>
        <w:rPr>
          <w:rFonts w:ascii="Calibri" w:hAnsi="Calibri" w:cs="Calibri"/>
          <w:b w:val="0"/>
          <w:i w:val="0"/>
          <w:color w:val="111827"/>
          <w:sz w:val="20"/>
        </w:rPr>
        <w:t>Esquema completo al día (refuerzo cada 10 años).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Hepatitis B:  </w:t>
      </w:r>
      <w:r>
        <w:rPr>
          <w:rFonts w:ascii="Calibri" w:hAnsi="Calibri" w:cs="Calibri"/>
          <w:b w:val="0"/>
          <w:i w:val="0"/>
          <w:color w:val="111827"/>
          <w:sz w:val="20"/>
        </w:rPr>
        <w:t>3 dosis (esquema 0-1-6 meses) + titulación.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Otras:  </w:t>
      </w:r>
      <w:r>
        <w:rPr>
          <w:rFonts w:ascii="Calibri" w:hAnsi="Calibri" w:cs="Calibri"/>
          <w:b w:val="0"/>
          <w:i w:val="0"/>
          <w:color w:val="111827"/>
          <w:sz w:val="20"/>
        </w:rPr>
        <w:t>Triple vírica (sarampión, paperas, rubéola), influenza estacional, COVID-19.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Exámenes médicos.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 la NT-02-2008, el personal se somete a examen médico pre-empleo, periódico anual y post-ocupacional, con énfasis en serologías para leptospirosis, toxoplasmosis, brucelosis y hepatitis B.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ATENCIÓN ANTE ACCIDENTES DE TRABAJO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Procedimiento inmediato.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accidente ocupacional (mordedura, cortopunzante, salpicadura en mucosas, exposición química):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Lavar la zona afectada con agua abundante (15 minutos en mucosas, cortopunzantes o químicos).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antiséptico y cubrir la herida.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al supervisor en un máximo de 2 horas (Art. 73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Acudir al centro asistencial designado por el IVSS-PMSSO.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formulario de reporte de incidente (Anexo del Procedimiento de Reporte).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Seguir esquema PEP (post-exposición) si aplica: rabia, hepatitis B, VIH, tétanos.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Algoritmo de respuesta ante accidentes.  </w:t>
      </w:r>
      <w:r>
        <w:rPr>
          <w:rFonts w:ascii="Calibri" w:hAnsi="Calibri" w:cs="Calibri"/>
          <w:b w:val="0"/>
          <w:i w:val="0"/>
          <w:color w:val="111827"/>
          <w:sz w:val="20"/>
        </w:rPr>
        <w:t>El siguiente algoritmo resume la respuesta inmediata: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ALGORITMO ANTE EXPOSICIÓN OCUPACIONAL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1. PARAR la actividad inmediatamente.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2. LAVAR la zona afectada con agua y jabón durante 15 minutos (mucosas: irrigar con suero fisiológico).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3. ANTISÉPTICO: alcohol 70% o povidona yodada en piel lesionada.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4. CUBRIR con apósito estéril. NO suturar mordeduras.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5. NOTIFICAR al supervisor directo en ≤30 minutos.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6. REPORTAR formalmente en formulario de incidente (≤2 horas Art. 73 LOPCYMAT).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7. CLASIFICAR la exposición (Tipo 1-4 OMS / categoría del material).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8. CENTRO ASISTENCIAL del IVSS-PMSSO para evaluación y PEP.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9. PEP según corresponda: vacuna antirrábica + IGAR (Tipo 3-4), vacuna Hepatitis B + IGHB, antitetánica, profilaxis VIH (dentro de 72 h).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10. SEGUIMIENTO serológico a las 6 semanas, 3 y 6 meses para VIH, HBV y HCV.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11. INVESTIGACIÓN de causa raíz y plan de acción por el Comité SST.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12. CIERRE del expediente y archivo por 10 años (Art. 183 LOTTT).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Plazos legales de reporte.  </w:t>
      </w:r>
      <w:r>
        <w:rPr>
          <w:rFonts w:ascii="Calibri" w:hAnsi="Calibri" w:cs="Calibri"/>
          <w:b w:val="0"/>
          <w:i w:val="0"/>
          <w:color w:val="111827"/>
          <w:sz w:val="20"/>
        </w:rPr>
        <w:t>Los plazos máximos de reporte conforme a la LOPCYMAT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grave: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grave: 2 horas ante el IVSS y la Inspectoría de INPSASEL.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común: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común: 1 día hábil siguiente.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 itinere: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in itinere: 1 día hábil al IVSS.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 ocupacional:  </w:t>
      </w:r>
      <w:r>
        <w:rPr>
          <w:rFonts w:ascii="Calibri" w:hAnsi="Calibri" w:cs="Calibri"/>
          <w:b w:val="0"/>
          <w:i w:val="0"/>
          <w:color w:val="111827"/>
          <w:sz w:val="20"/>
        </w:rPr>
        <w:t>Enfermedad ocupacional: 5 días hábiles ante INPSASEL.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Mortal: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mortal: reporte inmediato al IVSS, INPSASEL y CICPC.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PROTECCIÓN AL PERSONAL EMBARAZADA Y EN LACTANCIA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Restricciones.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78 de la LOPCYMAT y a la Ley Especial para la Dignificación de la Mujer Trabajadora, las trabajadoras embarazadas o en lactancia NO desempeñarán labores que impliquen: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Exposición a radiaciones ionizantes (rayos X veterinarios).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anestésicos volátiles (isoflurano, sevoflurano) sin sistema de gas scavenging.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quimioterápicos veterinarios.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animales con zoonosis de elevada riesgo (brucelosis, leptospirosis, toxoplasmosis).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Trabajo en altura, manipulación de cargas pesadas o posturas forzadas.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Reasignación de funciones.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reasignará a la trabajadora embarazada a labores compatibles con su estado, sin reducción salarial, conforme al artículo 78 de la LOPCYMAT.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Derechos de la trabajadora embarazada.  </w:t>
      </w:r>
      <w:r>
        <w:rPr>
          <w:rFonts w:ascii="Calibri" w:hAnsi="Calibri" w:cs="Calibri"/>
          <w:b w:val="0"/>
          <w:i w:val="0"/>
          <w:color w:val="111827"/>
          <w:sz w:val="20"/>
        </w:rPr>
        <w:t>Además de la reasignación, la trabajadora embarazada tiene derecho 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Descanso prenatal de seis (6) semanas antes del parto (Ley para la Protección de la Familia, la Maternidad y la Paternidad).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Descanso postnatal de veinte (20) semanas después del parto.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Dos (2) descansos de treinta (30) minutos diarios para lactancia durante el primer año del bebé.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Prohibición de despido durante el embarazo y hasta un (1) año post-parto (Art. 79 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Atención médica integral a través del Seguro Social Obligatorio.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Glosario de términos clave.  </w:t>
      </w:r>
      <w:r>
        <w:rPr>
          <w:rFonts w:ascii="Calibri" w:hAnsi="Calibri" w:cs="Calibri"/>
          <w:b w:val="0"/>
          <w:i w:val="0"/>
          <w:color w:val="111827"/>
          <w:sz w:val="20"/>
        </w:rPr>
        <w:t>Para facilitar la comprensión de la presente Cartilla, se define a continuación el glosario de términos técnicos: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24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Término</w:t>
            </w:r>
          </w:p>
        </w:tc>
        <w:tc>
          <w:tcPr>
            <w:tcW w:type="dxa" w:w="782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Bioseguridad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Conjunto de medidas preventivas para proteger la salud del personal y del entorno frente a agentes biológicos.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EPP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Equipo de Protección Personal: dispositivos individuales que protegen al trabajador de riesgos específicos.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Fómite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Objeto inanimado que puede transportar agentes infecciosos (instrumental, ropa, superficies).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Zoonosis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transmisible de animales a humanos y viceversa.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Profilaxis Post-Exposición: tratamiento preventivo posterior a una exposición (ej. rabia).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IGAR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Inmunoglobulina Antirrábica: anticuerpos específicos contra el virus de la rabia.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 Essen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Esquema de vacunación antirrábica en días 0, 3, 7, 14 y 28.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Cortopunzante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Objeto capaz de cortar o perforar la piel (agujas, bisturíes, vidrios).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NB-1 a NB-4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Niveles de Bioseguridad del 1 al 4, según el riesgo del agente.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INHRR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Instituto Nacional de Higiene 'Rafael Rangel' — referencia nacional para diagnóstico de rabia.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IVSS-PMSSO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8"/>
              </w:rPr>
              <w:t>Programa de Medicina del Seguro Social Obligatorio — atención al trabajador.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INPSASEL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Instituto Nacional de Prevención, Salud y Seguridad Laborales.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NT-01-2008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Técnica para la selección y uso de EPP en Venezuela.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NT-02-2008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Técnica para la Vigilancia de la Salud de los trabajadores.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COVENIN 2747-93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venezolana para el manejo de residuos en establecimientos de salud.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SST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paritario de Seguridad y Salud Laboral, regulado por el Art. 46 LOPCYMAT.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Casi-accidente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Suceso que pudo causar daño pero no lo hizo (near miss).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— DIRECTORIO DE EMERGENCIAS Y CENTROS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4422"/>
      </w:tblGrid>
      <w:tr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Contacto</w:t>
            </w:r>
          </w:p>
        </w:tc>
        <w:tc>
          <w:tcPr>
            <w:tcW w:type="dxa" w:w="442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Teléfono / Dirección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Emergencia médica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Bomberos / 911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911 — cobertura nacional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antirrábico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Distrito Sanitario N° 2 — Altos Mirandinos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Miranda — consultar directorio MPPS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Instituto Nacional de Higiene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INHRR 'Rafael Rangel'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para envío de muestras de rabia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IVSS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Asistencial designado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Consultar PMSSO — Orden de Atención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INPSASEL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Inspectoría del Trabajo — Miranda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Estado Miranda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CICPC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Denuncia por robo o sustancias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911 o delegación local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SENAC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de sustancias controladas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vía portal del MPPP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Coordinación SST — LA EMPRESA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Directora Gerente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Esnatlim Elena Simoza — interno Gerencia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Comité SST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Buzón de denuncias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Recepción — LA EMPRESA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TABLA RESUMEN — EPP OBLIGATORIO GENERAL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El siguiente cuadro resume el EPP de uso obligatorio en el centro de trabajo: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4422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Cargo / Área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Básico</w:t>
            </w:r>
          </w:p>
        </w:tc>
        <w:tc>
          <w:tcPr>
            <w:tcW w:type="dxa" w:w="442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Especial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 Veterinario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quirúrgica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estéril, gafas, gorro, N95 (necropsia)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Auxiliar Veterinario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quirúrgica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botas (limpieza jaulas)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Dog Groomer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guantes de nitrilo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N95 (asma/alergias), botas antideslizantes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Encargado de Tienda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(carga), calzado cerrado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(productos químicos)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Personal de Limpieza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de goma, botas, delantal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con filtro (desinfectantes fuertes)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«Cartilla de Bioseguridad Veterinaria»,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Rosa Margarita Blanco Martínez · C.I. V-14.850.506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