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PROCEDIMIENTO DE REPORTE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Art. 73 LOPCYMAT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PROCEDIMIENTO DE REPORTE DE INCIDENTES Y ACCIDENTES DE TRABAJO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OBJETIVO Y ALCANCE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Objetivo.  </w:t>
      </w:r>
      <w:r>
        <w:rPr>
          <w:rFonts w:ascii="Calibri" w:hAnsi="Calibri" w:cs="Calibri"/>
          <w:b w:val="0"/>
          <w:i w:val="0"/>
          <w:color w:val="111827"/>
          <w:sz w:val="20"/>
        </w:rPr>
        <w:t>Establecer el procedimiento uniforme para el reporte, investigación y seguimiento de los incidentes y accidentes de trabajo ocurridos en las instalaciones de LA EMPRESA o en Misión de trabajo, conforme al artículo 73 de la LOPCYMAT y la Norma Técnica NT-01-2008.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Alcance.  </w:t>
      </w:r>
      <w:r>
        <w:rPr>
          <w:rFonts w:ascii="Calibri" w:hAnsi="Calibri" w:cs="Calibri"/>
          <w:b w:val="0"/>
          <w:i w:val="0"/>
          <w:color w:val="111827"/>
          <w:sz w:val="20"/>
        </w:rPr>
        <w:t>Aplica a todo el personal de LA EMPRESA, sea fijo, contratado, eventual, de prueba o pasante, así como a visitantes, proveedores y contratistas presentes en el centro de trabajo.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DEFINICIONES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Casi-accidente (near miss):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NO causó lesión pero que pudo haberla causado.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Incidente: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causó lesión leve sin incapacidad.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de trabajo: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causó lesión con incapacidad temporal o permanente, o muerte.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in itinere: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ocurrido en el trayecto entre el domicilio del trabajador(a) y el centro de trabajo, y viceversa (Art. 69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 ocupacional:  </w:t>
      </w:r>
      <w:r>
        <w:rPr>
          <w:rFonts w:ascii="Calibri" w:hAnsi="Calibri" w:cs="Calibri"/>
          <w:b w:val="0"/>
          <w:i w:val="0"/>
          <w:color w:val="111827"/>
          <w:sz w:val="20"/>
        </w:rPr>
        <w:t>Enfermedad contraída por exposición a factores de riesgo en el trabajo (Art. 70 LOPCYMAT y Lista Oficial de Enfermedades Ocupacionales).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grave: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que causa la muerte del trabajador(a), o lesiones que ponen en peligro la vida, o amputación, o pérdida de un sentido, o invalidez permanente (Art. 73 LOPCYMAT).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Lista de enfermedades ocupacionales relevantes.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70 de la LOPCYMAT y la Lista Oficial de Enfermedades Ocupacionales, en LA EMPRESA se vigila especialmente: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268"/>
        <w:gridCol w:w="3685"/>
        <w:gridCol w:w="3005"/>
      </w:tblGrid>
      <w:tr>
        <w:tc>
          <w:tcPr>
            <w:tcW w:type="dxa" w:w="79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CIE-10</w:t>
            </w:r>
          </w:p>
        </w:tc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Enfermedad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Causa / Agente</w:t>
            </w:r>
          </w:p>
        </w:tc>
        <w:tc>
          <w:tcPr>
            <w:tcW w:type="dxa" w:w="300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Cargo expuesto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A82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Rabia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Virus rábico (mordedura)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A27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Leptospirosis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Leptospira (orina animales)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B58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Toxoplasmosis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Toxoplasma gondii (felinos)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A23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Brucelosis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Brucella (fluidos, abortos)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B35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Dermatofitosis (tiña)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Hongos dermatofitos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B86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Sarna sarcóptica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Sarcoptes scabiei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L24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Dermatitis irritativa de contacto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Desinfectantes, champús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Aux Vet, Groomer, Encargado Tienda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J45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Asma ocupacional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Aerosoles, pelos, caspa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M75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Trastornos musculoesqueléticos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Posturas forzadas, movimientos repetitivos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Todos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Z57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Exposición a radiaciones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Rayos X veterinarios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F43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Trastornos por estrés laboral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Carga mental, guardias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Gerente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A36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Tétanos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Clostridium tetani (heridas)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Todos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OBLIGATORIEDAD DEL REPORTE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OBLIGACIÓN LEGAL — ARTÍCULO 73 LOPCYMAT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Todo accidente de trabajo debe ser reportado formalmente por LA EMPRESA ante el IVSS y ante INPSASEL dentro de las DOS (2) HORAS siguientes al evento cuando se trate de accidente grave; y dentro del primer día hábil siguiente para los demás accidentes. El incumplimiento genera responsabilidad administrativa, civil y penal para LA EMPRESA y para los directivos responsables.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Responsabilidades específicas.  </w:t>
      </w:r>
      <w:r>
        <w:rPr>
          <w:rFonts w:ascii="Calibri" w:hAnsi="Calibri" w:cs="Calibri"/>
          <w:b w:val="0"/>
          <w:i w:val="0"/>
          <w:color w:val="111827"/>
          <w:sz w:val="20"/>
        </w:rPr>
        <w:t>Las responsabilidades en materia de reporte se distribuyen así: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257"/>
      </w:tblGrid>
      <w:tr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725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Responsabilidad principal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Trabajador(a)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Reportar inmediatamente cualquier incidente o condición insegura a su supervisor.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Supervisor directo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Recibir el reporte, completar el formulario y notificar a la Gerencia y al Comité SST.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Médico Veterinario (según caso)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Brindar atención primaria, evaluar gravedad, indicar traslado.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SST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Investigar causa raíz, elaborar plan de acción, dar seguimiento al cierre.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Directora Gerente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Reportar formalmente al IVSS e INPSASEL dentro de los plazos legales; firmar reportes.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Representante Legal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Firmar reportes oficiales y asumir representación legal ante autoridades.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Delegado(s) de Prevención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Participar en la investigación, velar por derechos del trabajador(a).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CANALES DE REPORTE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Canales disponibles.  </w:t>
      </w:r>
      <w:r>
        <w:rPr>
          <w:rFonts w:ascii="Calibri" w:hAnsi="Calibri" w:cs="Calibri"/>
          <w:b w:val="0"/>
          <w:i w:val="0"/>
          <w:color w:val="111827"/>
          <w:sz w:val="20"/>
        </w:rPr>
        <w:t>El trabajador(a) puede reportar el incidente a través de los siguientes canales, en orden de preferencia: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1:  </w:t>
      </w:r>
      <w:r>
        <w:rPr>
          <w:rFonts w:ascii="Calibri" w:hAnsi="Calibri" w:cs="Calibri"/>
          <w:b w:val="0"/>
          <w:i w:val="0"/>
          <w:color w:val="111827"/>
          <w:sz w:val="20"/>
        </w:rPr>
        <w:t>Verbal inmediata + escrita en formulario (Anexo C) ante el supervisor directo.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2:  </w:t>
      </w:r>
      <w:r>
        <w:rPr>
          <w:rFonts w:ascii="Calibri" w:hAnsi="Calibri" w:cs="Calibri"/>
          <w:b w:val="0"/>
          <w:i w:val="0"/>
          <w:color w:val="111827"/>
          <w:sz w:val="20"/>
        </w:rPr>
        <w:t>Comité de Seguridad y Salud Laboral (SST).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3:  </w:t>
      </w:r>
      <w:r>
        <w:rPr>
          <w:rFonts w:ascii="Calibri" w:hAnsi="Calibri" w:cs="Calibri"/>
          <w:b w:val="0"/>
          <w:i w:val="0"/>
          <w:color w:val="111827"/>
          <w:sz w:val="20"/>
        </w:rPr>
        <w:t>Directora Gerente o Representante Legal.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4:  </w:t>
      </w:r>
      <w:r>
        <w:rPr>
          <w:rFonts w:ascii="Calibri" w:hAnsi="Calibri" w:cs="Calibri"/>
          <w:b w:val="0"/>
          <w:i w:val="0"/>
          <w:color w:val="111827"/>
          <w:sz w:val="20"/>
        </w:rPr>
        <w:t>Buzón físico de denuncia ubicado en recepción.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Categorías de incidentes.  </w:t>
      </w:r>
      <w:r>
        <w:rPr>
          <w:rFonts w:ascii="Calibri" w:hAnsi="Calibri" w:cs="Calibri"/>
          <w:b w:val="0"/>
          <w:i w:val="0"/>
          <w:color w:val="111827"/>
          <w:sz w:val="20"/>
        </w:rPr>
        <w:t>Los incidentes se clasifican en las siguientes categorías para fines de reporte: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6803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Categoría</w:t>
            </w:r>
          </w:p>
        </w:tc>
        <w:tc>
          <w:tcPr>
            <w:tcW w:type="dxa" w:w="680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leve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Arañazo sin incapacidad, pequeño corte sin sutura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con incapacidad temporal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que requiere reposo 3 días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grave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en cara/mano con riesgo funcional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mortal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Fallecimiento del trabajador(a)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Casi-accidente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Casi-mordedura, caída sin lesión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ocupacional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Dermatitis por químicos, leptospirosis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7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in itinere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Caída en ruta al trabajo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Incidente material / daño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Daño a equipo, derrame químico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PROCEDIMIENTO DE REPORTE — 9 PASOS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Pasos.  </w:t>
      </w:r>
      <w:r>
        <w:rPr>
          <w:rFonts w:ascii="Calibri" w:hAnsi="Calibri" w:cs="Calibri"/>
          <w:b w:val="0"/>
          <w:i w:val="0"/>
          <w:color w:val="111827"/>
          <w:sz w:val="20"/>
        </w:rPr>
        <w:t>El procedimiento de reporte se compone de nueve (9) pasos obligatorios: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1: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inmediatamente al trabajador(a): primeros auxilios, traslado a centro asistencial del IVSS-PMSSO si es necesario.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2:  </w:t>
      </w:r>
      <w:r>
        <w:rPr>
          <w:rFonts w:ascii="Calibri" w:hAnsi="Calibri" w:cs="Calibri"/>
          <w:b w:val="0"/>
          <w:i w:val="0"/>
          <w:color w:val="111827"/>
          <w:sz w:val="20"/>
        </w:rPr>
        <w:t>Notificar verbalmente al supervisor directo en un máximo de 30 minutos.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3: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el Formulario de Reporte de Incidente (Anexo C) dentro de las 2 horas.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4: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formalmente al IVSS e INPSASEL (accidente grave: 2 horas; otros: 1 día hábil).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5:  </w:t>
      </w:r>
      <w:r>
        <w:rPr>
          <w:rFonts w:ascii="Calibri" w:hAnsi="Calibri" w:cs="Calibri"/>
          <w:b w:val="0"/>
          <w:i w:val="0"/>
          <w:color w:val="111827"/>
          <w:sz w:val="20"/>
        </w:rPr>
        <w:t>Preservar la escena del accidente para la investigación (fotos, testigos).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6: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investigación de causa raíz (5 por qué, análisis de barreras).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7:  </w:t>
      </w:r>
      <w:r>
        <w:rPr>
          <w:rFonts w:ascii="Calibri" w:hAnsi="Calibri" w:cs="Calibri"/>
          <w:b w:val="0"/>
          <w:i w:val="0"/>
          <w:color w:val="111827"/>
          <w:sz w:val="20"/>
        </w:rPr>
        <w:t>Elaborar plan de acción correctivo y preventivo con responsables y plazos.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8:  </w:t>
      </w:r>
      <w:r>
        <w:rPr>
          <w:rFonts w:ascii="Calibri" w:hAnsi="Calibri" w:cs="Calibri"/>
          <w:b w:val="0"/>
          <w:i w:val="0"/>
          <w:color w:val="111827"/>
          <w:sz w:val="20"/>
        </w:rPr>
        <w:t>Hacer seguimiento al plan de acción hasta su cierre.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9:  </w:t>
      </w:r>
      <w:r>
        <w:rPr>
          <w:rFonts w:ascii="Calibri" w:hAnsi="Calibri" w:cs="Calibri"/>
          <w:b w:val="0"/>
          <w:i w:val="0"/>
          <w:color w:val="111827"/>
          <w:sz w:val="20"/>
        </w:rPr>
        <w:t>Cerrar el caso y archivar el expediente por 10 años (Art. 183 LOTTT).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PLAZOS LEGALES DE REPORTE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Tabla de plazos.  </w:t>
      </w:r>
      <w:r>
        <w:rPr>
          <w:rFonts w:ascii="Calibri" w:hAnsi="Calibri" w:cs="Calibri"/>
          <w:b w:val="0"/>
          <w:i w:val="0"/>
          <w:color w:val="111827"/>
          <w:sz w:val="20"/>
        </w:rPr>
        <w:t>Los plazos máximos de reporte conforme a la LOPCYMAT y la LOTTT 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948"/>
        <w:gridCol w:w="3175"/>
      </w:tblGrid>
      <w:tr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 de evento</w:t>
            </w:r>
          </w:p>
        </w:tc>
        <w:tc>
          <w:tcPr>
            <w:tcW w:type="dxa" w:w="294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Ante quién</w:t>
            </w:r>
          </w:p>
        </w:tc>
        <w:tc>
          <w:tcPr>
            <w:tcW w:type="dxa" w:w="317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Plazo máximo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grave (Art. 73 LOPCYMAT)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 HORAS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común con incapacidad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in itinere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ocupacional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INPSASEL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 días hábiles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mortal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 + CICPC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Inmediato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Incidente (casi-accidente)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Registro interno + Comité SST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COMITÉ DE SEGURIDAD Y SALUD LABORAL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Integración.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46 de la LOPCYMAT, LA EMPRESA mantiene un Comité de Seguridad y Salud Laboral paritario, integrado por representantes del empleador y de los trabajadores, elegidos conforme al Reglamento de la LOPCYMAT. El Comité se reúne mensualmente y participa en la investigación de todo accidente grave.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Funciones del Comité.  </w:t>
      </w:r>
      <w:r>
        <w:rPr>
          <w:rFonts w:ascii="Calibri" w:hAnsi="Calibri" w:cs="Calibri"/>
          <w:b w:val="0"/>
          <w:i w:val="0"/>
          <w:color w:val="111827"/>
          <w:sz w:val="20"/>
        </w:rPr>
        <w:t>Son funciones del Comité SST: vigilar el cumplimiento del Programa SST, investigar accidentes y enfermedades ocupacionales, promover la capacitación, evaluar el Programa de Vigilancia Médica y recabar información sobre condiciones inseguras.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CONFIDENCIALIDAD Y PROHIBICIÓN DE REPRESALIAS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Confidencialidad.  </w:t>
      </w:r>
      <w:r>
        <w:rPr>
          <w:rFonts w:ascii="Calibri" w:hAnsi="Calibri" w:cs="Calibri"/>
          <w:b w:val="0"/>
          <w:i w:val="0"/>
          <w:color w:val="111827"/>
          <w:sz w:val="20"/>
        </w:rPr>
        <w:t>Los datos personales del trabajador(a) accidentado se tratan conforme a la LOPDP y se comparten exclusivamente con fines de prevención, investigación, atención médica y reporte legal. El expediente se conserva por 10 años.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Prohibición de represalias.  </w:t>
      </w:r>
      <w:r>
        <w:rPr>
          <w:rFonts w:ascii="Calibri" w:hAnsi="Calibri" w:cs="Calibri"/>
          <w:b w:val="0"/>
          <w:i w:val="0"/>
          <w:color w:val="111827"/>
          <w:sz w:val="20"/>
        </w:rPr>
        <w:t>Queda terminantemente prohibida cualquier represalia contra el trabajador(a) que reporte un incidente, accidente o condición insegura, conforme al artículo 26 de la LOPCYMAT. El reporte de buena fe constituye un derecho y un deber.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INDICADORES Y MEJORA CONTINUA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Indicadores de gestión SST.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calcula y monitorea los siguientes indicadores mensualmente: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4252"/>
        <w:gridCol w:w="2438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425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Fórmula</w:t>
            </w:r>
          </w:p>
        </w:tc>
        <w:tc>
          <w:tcPr>
            <w:tcW w:type="dxa" w:w="243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Índice de Frecuencia (IF)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accidentes con incapacidad × 200.000 / horas trabajadas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5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Índice de Severidad (IS)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Días perdidos × 200.000 / horas trabajadas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100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Tasa de incidencia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accidentes × 100 / N° trabajadores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10%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Tasa de reporte de casi-accidentes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casi-accidentes / N° accidentes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&gt; 10 (cultura proactiva)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Cumplimiento de capacitación SST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Horas capacitación ejecutadas / planificadas × 100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≥ 95%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Cierre de planes de acción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Acciones cerradas / acciones planificadas × 100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≥ 90%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Ausentismo por salud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Días perdidos por salud / días laborables × 100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3%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Revisión del Programa SST.  </w:t>
      </w:r>
      <w:r>
        <w:rPr>
          <w:rFonts w:ascii="Calibri" w:hAnsi="Calibri" w:cs="Calibri"/>
          <w:b w:val="0"/>
          <w:i w:val="0"/>
          <w:color w:val="111827"/>
          <w:sz w:val="20"/>
        </w:rPr>
        <w:t>El Programa de Seguridad y Salud en el Trabajo se revisa anualmente, conforme al artículo 89 de la LOPCYMAT, con base en los indicadores calculados, los reportes de incidentes y accidentes, las auditorías internas y externas, y las recomendaciones del Comité SST. La revisión da lugar a un Plan Anual de Prevención con objetivos, metas, responsables y plazos.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10d.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Capacitación continua.  </w:t>
      </w:r>
      <w:r>
        <w:rPr>
          <w:rFonts w:ascii="Calibri" w:hAnsi="Calibri" w:cs="Calibri"/>
          <w:b w:val="0"/>
          <w:i w:val="0"/>
          <w:color w:val="111827"/>
          <w:sz w:val="20"/>
        </w:rPr>
        <w:t>Todo el personal recibe capacitación anual mínima de dieciséis (16) horas en materia de SST, conforme al artículo 56 de la LOPCYMAT. Las capacitaciones incluyen: bioseguridad veterinaria, manejo de sustancias controladas, protocolo de mordeduras, RCP, prevención de incendios, manejo de extintores, y revisión del presente Procedimiento de Reporte de Incidentes.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10e.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Auditorías externas.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se somete a auditorías externas periódicas por parte del INPSASEL, del IVSS y, cuando aplique, del SENAC. Los hallazgos se documentan y dan lugar a planes de acción con responsables y plazos, cuyo seguimiento hace el Comité SST.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C — FORMULARIO DE REPORTE DE INCIDENTE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Este formulario se completa por duplicado: copia para expediente SST y copia para el trabajador(a).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1 — DATOS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Nombre completo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C.I. / Cargo / Departamento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Antigüedad / Fecha de ingreso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Edad / Sexo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2 — DATOS DEL INCIDENTE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Fecha y hora del incidente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 / ____ / ______  ·  ____:____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Lugar exacto del incidente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incidente (leve, grave, mortal, in itinere, enfermedad)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Categoría (ver Cap. IV)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Testigos (nombres y C.I.)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3 — DESCRIPCIÓN DEL INCIDENTE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Descripción detallada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Tarea que realizaba el trabajador(a)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Equipo / herramienta / sustancia involucrada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Factores contribuyentes (condiciones inseguras)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Actos inseguros detectados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4 — LESIONES Y ATENCIÓN MÉDICA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lesión / parte del cuerpo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Gravedad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Centro asistencial que atendió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Tratamiento / reposo indicado (días)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Reportado al IVSS / INPSASEL (fecha y hora)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5 — INVESTIGACIÓN DE CAUSA RAÍZ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Investigador designado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inmediata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básica (organizacional / humano)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raíz (5 por qué)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Medidas correctivas propuestas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Responsables / Plazos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6 — 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TESTIGO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«Procedimiento de Reporte de Incidentes y Accidentes de Trabajo»,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Rosa Margarita Blanco Martínez · C.I. V-14.850.506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