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REGLAMENTO INTERNO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El presente Reglamento Interno de Trabajo regula las condiciones a las que deben sujetarse las trabajadoras y los trabajadores de PARRILLA Y LUNCHERÍA ICABARU SRL, dedicada a la actividad gastronómica (restaurante / parrilla y servicio de comidas y bebidas). Su contenido se interpreta y aplica conforme a la legislación laboral venezolana.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Las remisiones normativas de este reglamento se expresan por referencia a la ley aplicable y no sustituyen los derechos que la ley garantiza a las trabajadoras y los trabajadores.</w:t>
      </w:r>
    </w:p>
    <w:p>
      <w:pPr>
        <w:pStyle w:val="Heading1"/>
      </w:pPr>
      <w:r>
        <w:t xml:space="preserve">CAPÍTULO I. Disposiciones generales</w:t>
      </w:r>
    </w:p>
    <w:p>
      <w:pPr>
        <w:pStyle w:val="Heading3"/>
      </w:pPr>
      <w:r>
        <w:t xml:space="preserve">Objeto y ámbito de aplicación</w:t>
      </w:r>
    </w:p>
    <w:p>
      <w:pPr>
        <w:spacing w:after="120"/>
        <w:jc w:val="both"/>
      </w:pPr>
      <w:r>
        <w:t xml:space="preserve">Este reglamento es obligatorio para todo el personal, con independencia del cargo, modalidad o tiempo de servicio. Se entrega al momento del ingreso y forma parte de la documentación laboral.</w:t>
      </w:r>
    </w:p>
    <w:p>
      <w:pPr>
        <w:pStyle w:val="Heading3"/>
      </w:pPr>
      <w:r>
        <w:t xml:space="preserve">Principios</w:t>
      </w:r>
    </w:p>
    <w:p>
      <w:pPr>
        <w:pStyle w:val="ListParagraph"/>
        <w:numPr>
          <w:ilvl w:val="0"/>
          <w:numId w:val="2"/>
        </w:numPr>
      </w:pPr>
      <w:r>
        <w:t xml:space="preserve">Respeto a la dignidad, a la igualdad y a la no discriminación.</w:t>
      </w:r>
    </w:p>
    <w:p>
      <w:pPr>
        <w:pStyle w:val="ListParagraph"/>
        <w:numPr>
          <w:ilvl w:val="0"/>
          <w:numId w:val="2"/>
        </w:numPr>
      </w:pPr>
      <w:r>
        <w:t xml:space="preserve">Cumplimiento de las normas de seguridad, higiene y salud en el trabajo.</w:t>
      </w:r>
    </w:p>
    <w:p>
      <w:pPr>
        <w:pStyle w:val="ListParagraph"/>
        <w:numPr>
          <w:ilvl w:val="0"/>
          <w:numId w:val="2"/>
        </w:numPr>
      </w:pPr>
      <w:r>
        <w:t xml:space="preserve">Conservación de los bienes, equipos e instalaciones de la empresa.</w:t>
      </w:r>
    </w:p>
    <w:p>
      <w:pPr>
        <w:pStyle w:val="ListParagraph"/>
        <w:numPr>
          <w:ilvl w:val="0"/>
          <w:numId w:val="2"/>
        </w:numPr>
      </w:pPr>
      <w:r>
        <w:t xml:space="preserve">Los derechos laborales reconocidos por la ley son irrenunciables y no pueden desmejorarse por este reglamento.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CAPÍTULO II. Jornada de trabajo, horarios y turnos</w:t>
      </w:r>
    </w:p>
    <w:p>
      <w:pPr>
        <w:spacing w:after="120"/>
        <w:jc w:val="both"/>
      </w:pPr>
      <w:r>
        <w:t xml:space="preserve">La jornada ordinaria de trabajo es diurna y se distribuye según la organización de turnos por área y las necesidades del servicio. La jornada y sus límites se ajustan a lo previsto en la ley.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pStyle w:val="ListParagraph"/>
        <w:numPr>
          <w:ilvl w:val="0"/>
          <w:numId w:val="2"/>
        </w:numPr>
      </w:pPr>
      <w:r>
        <w:t xml:space="preserve">Los turnos se publican con anticipación en las áreas de trabajo y pueden ser rotativos (apertura, intermedio y cierre).</w:t>
      </w:r>
    </w:p>
    <w:p>
      <w:pPr>
        <w:pStyle w:val="ListParagraph"/>
        <w:numPr>
          <w:ilvl w:val="0"/>
          <w:numId w:val="2"/>
        </w:numPr>
      </w:pPr>
      <w:r>
        <w:t xml:space="preserve">Los cambios de turno se solicitan con la debida antelación y quedan sujetos a la aprobación del supervisor.</w:t>
      </w:r>
    </w:p>
    <w:p>
      <w:pPr>
        <w:pStyle w:val="ListParagraph"/>
        <w:numPr>
          <w:ilvl w:val="0"/>
          <w:numId w:val="2"/>
        </w:numPr>
      </w:pPr>
      <w:r>
        <w:t xml:space="preserve">Las horas extraordinarias se prestan solo cuando resulten necesarias y con la debida autorización, conforme a la ley.</w:t>
      </w:r>
    </w:p>
    <w:p>
      <w:pPr>
        <w:pStyle w:val="ListParagraph"/>
        <w:numPr>
          <w:ilvl w:val="0"/>
          <w:numId w:val="2"/>
        </w:numPr>
      </w:pPr>
      <w:r>
        <w:t xml:space="preserve">Se garantiza el disfrute del descanso semanal y de los días feriados que correspondan.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pStyle w:val="Heading1"/>
      </w:pPr>
      <w:r>
        <w:t xml:space="preserve">CAPÍTULO III. Puntualidad y asistencia</w:t>
      </w:r>
    </w:p>
    <w:p>
      <w:pPr>
        <w:pStyle w:val="ListParagraph"/>
        <w:numPr>
          <w:ilvl w:val="0"/>
          <w:numId w:val="2"/>
        </w:numPr>
      </w:pPr>
      <w:r>
        <w:t xml:space="preserve">La jornada inicia a la hora del turno asignado; el registro de entrada y salida es obligatorio.</w:t>
      </w:r>
    </w:p>
    <w:p>
      <w:pPr>
        <w:pStyle w:val="ListParagraph"/>
        <w:numPr>
          <w:ilvl w:val="0"/>
          <w:numId w:val="2"/>
        </w:numPr>
      </w:pPr>
      <w:r>
        <w:t xml:space="preserve">Se admite una tolerancia breve y razonable; la reincidencia se considera falta.</w:t>
      </w:r>
    </w:p>
    <w:p>
      <w:pPr>
        <w:pStyle w:val="ListParagraph"/>
        <w:numPr>
          <w:ilvl w:val="0"/>
          <w:numId w:val="2"/>
        </w:numPr>
      </w:pPr>
      <w:r>
        <w:t xml:space="preserve">Las inasistencias deben justificarse ante el supervisor lo antes posible; las causas justificadas se valoran conforme a la ley.</w:t>
      </w:r>
    </w:p>
    <w:p>
      <w:pPr>
        <w:pStyle w:val="ListParagraph"/>
        <w:numPr>
          <w:ilvl w:val="0"/>
          <w:numId w:val="2"/>
        </w:numPr>
      </w:pPr>
      <w:r>
        <w:t xml:space="preserve">El abandono del puesto durante la jornada requiere autorización del supervisor.</w:t>
      </w:r>
    </w:p>
    <w:p>
      <w:pPr>
        <w:pStyle w:val="Heading1"/>
      </w:pPr>
      <w:r>
        <w:t xml:space="preserve">CAPÍTULO IV. Presentación personal e higiene</w:t>
      </w:r>
    </w:p>
    <w:p>
      <w:pPr>
        <w:pStyle w:val="ListParagraph"/>
        <w:numPr>
          <w:ilvl w:val="0"/>
          <w:numId w:val="2"/>
        </w:numPr>
      </w:pPr>
      <w:r>
        <w:t xml:space="preserve">Asistir bañado(a) y con la ropa limpia; usar uñas cortas y aseadas.</w:t>
      </w:r>
    </w:p>
    <w:p>
      <w:pPr>
        <w:pStyle w:val="ListParagraph"/>
        <w:numPr>
          <w:ilvl w:val="0"/>
          <w:numId w:val="2"/>
        </w:numPr>
      </w:pPr>
      <w:r>
        <w:t xml:space="preserve">Mantener el cabello recogido y, en el área de cocina, cubierto cuando corresponda.</w:t>
      </w:r>
    </w:p>
    <w:p>
      <w:pPr>
        <w:pStyle w:val="ListParagraph"/>
        <w:numPr>
          <w:ilvl w:val="0"/>
          <w:numId w:val="2"/>
        </w:numPr>
      </w:pPr>
      <w:r>
        <w:t xml:space="preserve">No usar joyas, anillos, pulseras ni relojes en las áreas de producción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Mantener el uniforme limpio y en buen estado durante toda la jornada.</w:t>
      </w:r>
    </w:p>
    <w:p>
      <w:pPr>
        <w:pStyle w:val="ListParagraph"/>
        <w:numPr>
          <w:ilvl w:val="0"/>
          <w:numId w:val="2"/>
        </w:numPr>
      </w:pPr>
      <w:r>
        <w:t xml:space="preserve">Informar cualquier enfermedad contagiosa o lesión que afecte el servicio.</w:t>
      </w:r>
    </w:p>
    <w:p>
      <w:pPr>
        <w:pStyle w:val="Heading1"/>
      </w:pPr>
      <w:r>
        <w:t xml:space="preserve">CAPÍTULO V. Normas de manipulación de alimentos</w:t>
      </w:r>
    </w:p>
    <w:p>
      <w:pPr>
        <w:spacing w:after="120"/>
        <w:jc w:val="both"/>
      </w:pPr>
      <w:r>
        <w:t xml:space="preserve">Dada la naturaleza del servicio, se observan estrictas normas de inocuidad alimentaria:</w:t>
      </w:r>
    </w:p>
    <w:p>
      <w:pPr>
        <w:pStyle w:val="ListParagraph"/>
        <w:numPr>
          <w:ilvl w:val="0"/>
          <w:numId w:val="2"/>
        </w:numPr>
      </w:pPr>
      <w:r>
        <w:t xml:space="preserve">Lavarse las manos con frecuencia y cada vez que se cambie de tarea.</w:t>
      </w:r>
    </w:p>
    <w:p>
      <w:pPr>
        <w:pStyle w:val="ListParagraph"/>
        <w:numPr>
          <w:ilvl w:val="0"/>
          <w:numId w:val="2"/>
        </w:numPr>
      </w:pPr>
      <w:r>
        <w:t xml:space="preserve">Respetar la cadena de frío y la separación entre alimentos crudos y cocidos.</w:t>
      </w:r>
    </w:p>
    <w:p>
      <w:pPr>
        <w:pStyle w:val="ListParagraph"/>
        <w:numPr>
          <w:ilvl w:val="0"/>
          <w:numId w:val="2"/>
        </w:numPr>
      </w:pPr>
      <w:r>
        <w:t xml:space="preserve">Mantener limpias las superficies, utensilios y equipos de trabajo.</w:t>
      </w:r>
    </w:p>
    <w:p>
      <w:pPr>
        <w:pStyle w:val="ListParagraph"/>
        <w:numPr>
          <w:ilvl w:val="0"/>
          <w:numId w:val="2"/>
        </w:numPr>
      </w:pPr>
      <w:r>
        <w:t xml:space="preserve">No manipular alimentos con heridas descubiertas; se deben cubrir de forma adecuada.</w:t>
      </w:r>
    </w:p>
    <w:p>
      <w:pPr>
        <w:pStyle w:val="ListParagraph"/>
        <w:numPr>
          <w:ilvl w:val="0"/>
          <w:numId w:val="2"/>
        </w:numPr>
      </w:pPr>
      <w:r>
        <w:t xml:space="preserve">No comer, fumar ni ingerir bebidas en las áreas de producción y almacenamiento.</w:t>
      </w:r>
    </w:p>
    <w:p>
      <w:pPr>
        <w:pStyle w:val="ListParagraph"/>
        <w:numPr>
          <w:ilvl w:val="0"/>
          <w:numId w:val="2"/>
        </w:numPr>
      </w:pPr>
      <w:r>
        <w:t xml:space="preserve">Almacenar y rotular los alimentos conforme a las instrucciones del responsable del área.</w:t>
      </w:r>
    </w:p>
    <w:p>
      <w:pPr>
        <w:pStyle w:val="Heading1"/>
      </w:pPr>
      <w:r>
        <w:t xml:space="preserve">CAPÍTULO VI. Uniformes y equipos de protección personal</w:t>
      </w:r>
    </w:p>
    <w:p>
      <w:pPr>
        <w:pStyle w:val="ListParagraph"/>
        <w:numPr>
          <w:ilvl w:val="0"/>
          <w:numId w:val="2"/>
        </w:numPr>
      </w:pPr>
      <w:r>
        <w:t xml:space="preserve">La empresa entrega el uniforme y los equipos de protección personal (EPP) que correspondan al puesto.</w:t>
      </w:r>
    </w:p>
    <w:p>
      <w:pPr>
        <w:pStyle w:val="ListParagraph"/>
        <w:numPr>
          <w:ilvl w:val="0"/>
          <w:numId w:val="2"/>
        </w:numPr>
      </w:pPr>
      <w:r>
        <w:t xml:space="preserve">El uso del uniforme y del EPP es obligatorio durante la jornada, según el área.</w:t>
      </w:r>
    </w:p>
    <w:p>
      <w:pPr>
        <w:pStyle w:val="ListParagraph"/>
        <w:numPr>
          <w:ilvl w:val="0"/>
          <w:numId w:val="2"/>
        </w:numPr>
      </w:pPr>
      <w:r>
        <w:t xml:space="preserve">El trabajador cuida los uniformes y equipos entregados y responde por su uso adecuado.</w:t>
      </w:r>
    </w:p>
    <w:p>
      <w:pPr>
        <w:pStyle w:val="ListParagraph"/>
        <w:numPr>
          <w:ilvl w:val="0"/>
          <w:numId w:val="2"/>
        </w:numPr>
      </w:pPr>
      <w:r>
        <w:t xml:space="preserve">Las condiciones de riesgo e instrucciones de prevención son informadas al trabajador.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CAPÍTULO VII. Conducta con clientes, compañeros y supervisores</w:t>
      </w:r>
    </w:p>
    <w:p>
      <w:pPr>
        <w:pStyle w:val="ListParagraph"/>
        <w:numPr>
          <w:ilvl w:val="0"/>
          <w:numId w:val="2"/>
        </w:numPr>
      </w:pPr>
      <w:r>
        <w:t xml:space="preserve">Brindar un trato cordial, respetuoso y profesional a clientes y a todo el personal.</w:t>
      </w:r>
    </w:p>
    <w:p>
      <w:pPr>
        <w:pStyle w:val="ListParagraph"/>
        <w:numPr>
          <w:ilvl w:val="0"/>
          <w:numId w:val="2"/>
        </w:numPr>
      </w:pPr>
      <w:r>
        <w:t xml:space="preserve">Queda prohibida toda forma de discriminación, acoso, hostigamiento o violencia.</w:t>
      </w:r>
    </w:p>
    <w:p>
      <w:pPr>
        <w:pStyle w:val="ListParagraph"/>
        <w:numPr>
          <w:ilvl w:val="0"/>
          <w:numId w:val="2"/>
        </w:numPr>
      </w:pPr>
      <w:r>
        <w:t xml:space="preserve">Atender oportunamente las solicitudes e instrucciones del supervisor y canalizar los reclamos por la vía correspondiente.</w:t>
      </w:r>
    </w:p>
    <w:p>
      <w:pPr>
        <w:pStyle w:val="ListParagraph"/>
        <w:numPr>
          <w:ilvl w:val="0"/>
          <w:numId w:val="2"/>
        </w:numPr>
      </w:pPr>
      <w:r>
        <w:t xml:space="preserve">Cuidar el lenguaje y evitar toda conducta que afecte la imagen del establecimiento.</w:t>
      </w:r>
    </w:p>
    <w:p>
      <w:pPr>
        <w:pStyle w:val="Heading1"/>
      </w:pPr>
      <w:r>
        <w:t xml:space="preserve">CAPÍTULO VIII. Uso de caja, propinas y bienes de la empresa</w:t>
      </w:r>
    </w:p>
    <w:p>
      <w:pPr>
        <w:pStyle w:val="ListParagraph"/>
        <w:numPr>
          <w:ilvl w:val="0"/>
          <w:numId w:val="2"/>
        </w:numPr>
      </w:pPr>
      <w:r>
        <w:t xml:space="preserve">El manejo de la caja se realiza conforme al procedimiento autorizado; los faltantes injustificados deben reportarse de inmediato.</w:t>
      </w:r>
    </w:p>
    <w:p>
      <w:pPr>
        <w:pStyle w:val="ListParagraph"/>
        <w:numPr>
          <w:ilvl w:val="0"/>
          <w:numId w:val="2"/>
        </w:numPr>
      </w:pPr>
      <w:r>
        <w:t xml:space="preserve">Las propinas se administran conforme a la política de la empresa y a la ley; no pueden retenerse indebidamente.</w:t>
      </w:r>
    </w:p>
    <w:p>
      <w:pPr>
        <w:pStyle w:val="ListParagraph"/>
        <w:numPr>
          <w:ilvl w:val="0"/>
          <w:numId w:val="2"/>
        </w:numPr>
      </w:pPr>
      <w:r>
        <w:t xml:space="preserve">Queda prohibido apropiarse de dinero, mercancía, insumos o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Los bienes y equipos de la empresa se usan solo para actividades laborales.</w:t>
      </w:r>
    </w:p>
    <w:p>
      <w:pPr>
        <w:pStyle w:val="Heading1"/>
      </w:pPr>
      <w:r>
        <w:t xml:space="preserve">CAPÍTULO IX. Faltas y sanciones</w:t>
      </w:r>
    </w:p>
    <w:p>
      <w:pPr>
        <w:spacing w:after="120"/>
        <w:jc w:val="both"/>
      </w:pPr>
      <w:r>
        <w:t xml:space="preserve">Las faltas se clasifican en leves, graves y muy graves. La sanción es proporcional a la falta, sin menoscabo de los derechos laborales.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Tipo de falta</w:t>
            </w:r>
          </w:p>
        </w:tc>
        <w:tc>
          <w:p>
            <w:r>
              <w:rPr>
                <w:b/>
                <w:bCs/>
              </w:rPr>
              <w:t xml:space="preserve">Ejemplos</w:t>
            </w:r>
          </w:p>
        </w:tc>
        <w:tc>
          <w:p>
            <w:r>
              <w:rPr>
                <w:b/>
                <w:bCs/>
              </w:rPr>
              <w:t xml:space="preserve">Sanción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LEVE</w:t>
            </w:r>
          </w:p>
        </w:tc>
        <w:tc>
          <w:p>
            <w:r>
              <w:rPr>
                <w:b w:val="false"/>
                <w:bCs w:val="false"/>
              </w:rPr>
              <w:t xml:space="preserve">Retardos reiterados, descuido en la presentación personal, incumplimiento menor de instrucciones.</w:t>
            </w:r>
          </w:p>
        </w:tc>
        <w:tc>
          <w:p>
            <w:r>
              <w:rPr>
                <w:b w:val="false"/>
                <w:bCs w:val="false"/>
              </w:rPr>
              <w:t xml:space="preserve">Llamado de atención verbal y registro.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GRAVE</w:t>
            </w:r>
          </w:p>
        </w:tc>
        <w:tc>
          <w:p>
            <w:r>
              <w:rPr>
                <w:b w:val="false"/>
                <w:bCs w:val="false"/>
              </w:rPr>
              <w:t xml:space="preserve">Inasistencia injustificada, descuido que comprometa la inocuidad de los alimentos, trato descortés al cliente.</w:t>
            </w:r>
          </w:p>
        </w:tc>
        <w:tc>
          <w:p>
            <w:r>
              <w:rPr>
                <w:b w:val="false"/>
                <w:bCs w:val="false"/>
              </w:rPr>
              <w:t xml:space="preserve">Llamado de atención escrito.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MUY GRAVE</w:t>
            </w:r>
          </w:p>
        </w:tc>
        <w:tc>
          <w:p>
            <w:r>
              <w:rPr>
                <w:b w:val="false"/>
                <w:bCs w:val="false"/>
              </w:rPr>
              <w:t xml:space="preserve">Apropiación de bienes o dinero, agresión o acoso, manipulación deliberada e insegura de alimentos, incumplimiento grave de las normas de seguridad.</w:t>
            </w:r>
          </w:p>
        </w:tc>
        <w:tc>
          <w:p>
            <w:r>
              <w:rPr>
                <w:b w:val="false"/>
                <w:bCs w:val="false"/>
              </w:rPr>
              <w:t xml:space="preserve">Suspensión o terminación de la relación laboral por causa justificada.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La reincidencia agrava la falta y habilita una sanción mayor.</w:t>
      </w:r>
    </w:p>
    <w:p>
      <w:pPr>
        <w:pStyle w:val="ListParagraph"/>
        <w:numPr>
          <w:ilvl w:val="0"/>
          <w:numId w:val="2"/>
        </w:numPr>
      </w:pPr>
      <w:r>
        <w:t xml:space="preserve">La terminación por causa justificada se aplica conforme a las causales previstas en la ley.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pStyle w:val="Heading1"/>
      </w:pPr>
      <w:r>
        <w:t xml:space="preserve">CAPÍTULO X. Procedimiento para la imposición de sanciones</w:t>
      </w:r>
    </w:p>
    <w:p>
      <w:pPr>
        <w:pStyle w:val="ListParagraph"/>
        <w:numPr>
          <w:ilvl w:val="0"/>
          <w:numId w:val="2"/>
        </w:numPr>
      </w:pPr>
      <w:r>
        <w:t xml:space="preserve">El hecho se reporta al supervisor inmediato, quien lo documenta.</w:t>
      </w:r>
    </w:p>
    <w:p>
      <w:pPr>
        <w:pStyle w:val="ListParagraph"/>
        <w:numPr>
          <w:ilvl w:val="0"/>
          <w:numId w:val="2"/>
        </w:numPr>
      </w:pPr>
      <w:r>
        <w:t xml:space="preserve">El trabajador es informado de los hechos que se le imputan y puede presentar sus descargos.</w:t>
      </w:r>
    </w:p>
    <w:p>
      <w:pPr>
        <w:pStyle w:val="ListParagraph"/>
        <w:numPr>
          <w:ilvl w:val="0"/>
          <w:numId w:val="2"/>
        </w:numPr>
      </w:pPr>
      <w:r>
        <w:t xml:space="preserve">La sanción se notifica por escrito y se incorpora al expediente laboral.</w:t>
      </w:r>
    </w:p>
    <w:p>
      <w:pPr>
        <w:pStyle w:val="ListParagraph"/>
        <w:numPr>
          <w:ilvl w:val="0"/>
          <w:numId w:val="2"/>
        </w:numPr>
      </w:pPr>
      <w:r>
        <w:t xml:space="preserve">El trabajador puede exponer su inconformidad por los canales internos previstos.</w:t>
      </w:r>
    </w:p>
    <w:p>
      <w:pPr>
        <w:pStyle w:val="Heading1"/>
      </w:pPr>
      <w:r>
        <w:t xml:space="preserve">CAPÍTULO XI. Salario, prestaciones y beneficios</w:t>
      </w:r>
    </w:p>
    <w:p>
      <w:pPr>
        <w:spacing w:after="120"/>
        <w:jc w:val="both"/>
      </w:pPr>
      <w:r>
        <w:t xml:space="preserve">La remuneración, las prestaciones sociales y los beneficios se rigen por la ley, el contrato individual de trabajo y las políticas de la empresa.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pStyle w:val="ListParagraph"/>
        <w:numPr>
          <w:ilvl w:val="0"/>
          <w:numId w:val="2"/>
        </w:numPr>
      </w:pPr>
      <w:r>
        <w:t xml:space="preserve">Las prestaciones sociales se depositan y acreditan conforme al régimen legal.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pStyle w:val="ListParagraph"/>
        <w:numPr>
          <w:ilvl w:val="0"/>
          <w:numId w:val="2"/>
        </w:numPr>
      </w:pPr>
      <w:r>
        <w:t xml:space="preserve">Las vacaciones y el bono vacacional se otorgan según la ley.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ListParagraph"/>
        <w:numPr>
          <w:ilvl w:val="0"/>
          <w:numId w:val="2"/>
        </w:numPr>
      </w:pPr>
      <w:r>
        <w:t xml:space="preserve">Las utilidades se pagan conforme a lo previsto en la ley.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CAPÍTULO XII. Disposiciones finales</w:t>
      </w:r>
    </w:p>
    <w:p>
      <w:pPr>
        <w:pStyle w:val="ListParagraph"/>
        <w:numPr>
          <w:ilvl w:val="0"/>
          <w:numId w:val="2"/>
        </w:numPr>
      </w:pPr>
      <w:r>
        <w:t xml:space="preserve">Este reglamento entra en vigencia a partir de su entrega al trabajador.</w:t>
      </w:r>
    </w:p>
    <w:p>
      <w:pPr>
        <w:pStyle w:val="ListParagraph"/>
        <w:numPr>
          <w:ilvl w:val="0"/>
          <w:numId w:val="2"/>
        </w:numPr>
      </w:pPr>
      <w:r>
        <w:t xml:space="preserve">La empresa podrá ajustarlo para adaptarlo a cambios legales u operativos, informando oportunamente al personal.</w:t>
      </w:r>
    </w:p>
    <w:p>
      <w:pPr>
        <w:pStyle w:val="ListParagraph"/>
        <w:numPr>
          <w:ilvl w:val="0"/>
          <w:numId w:val="2"/>
        </w:numPr>
      </w:pPr>
      <w:r>
        <w:t xml:space="preserve">Toda duda de interpretación se resuelve conforme a la legislación laboral vigente.</w:t>
      </w:r>
    </w:p>
    <w:p>
      <w:pPr>
        <w:pStyle w:val="Heading1"/>
      </w:pPr>
      <w:r>
        <w:t xml:space="preserve">Acuse de recibo</w:t>
      </w:r>
    </w:p>
    <w:p>
      <w:pPr>
        <w:spacing w:after="120"/>
        <w:jc w:val="both"/>
      </w:pPr>
      <w:r>
        <w:t xml:space="preserve">Declaro haber recibido y leído el presente Reglamento Interno de Trabajo, comprender su contenido y aceptar las condiciones en él establecidas.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