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CHECKLIST IVSS / FAOV / INCES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Registros legales del trabajador — [COMPLETAR: razón social]</w:t>
      </w:r>
    </w:p>
    <w:p>
      <w:pPr>
        <w:spacing w:after="120"/>
        <w:jc w:val="both"/>
      </w:pPr>
      <w:r>
        <w:t xml:space="preserve">Control de inscripción y constancias ante los organismos de seguridad social y de formación. Marque cada casilla una vez obtenida la constancia correspondiente.</w:t>
      </w:r>
    </w:p>
    <w:p>
      <w:pPr>
        <w:pStyle w:val="Heading1"/>
      </w:pPr>
      <w:r>
        <w:t xml:space="preserve">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Constancias y trámites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rPr>
                <w:b/>
                <w:bCs/>
              </w:rPr>
              <w:t xml:space="preserve">Organismo</w:t>
            </w:r>
          </w:p>
        </w:tc>
        <w:tc>
          <w:p>
            <w:r>
              <w:rPr>
                <w:b/>
                <w:bCs/>
              </w:rPr>
              <w:t xml:space="preserve">Constancia / Trámite</w:t>
            </w:r>
          </w:p>
        </w:tc>
        <w:tc>
          <w:p>
            <w:r>
              <w:rPr>
                <w:b/>
                <w:bCs/>
              </w:rPr>
              <w:t xml:space="preserve">Obtenido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IVSS</w:t>
            </w:r>
          </w:p>
        </w:tc>
        <w:tc>
          <w:p>
            <w:r>
              <w:rPr>
                <w:b w:val="false"/>
                <w:bCs w:val="false"/>
              </w:rPr>
              <w:t xml:space="preserve">Inscripción del trabajador en el IVSS (número de afiliación)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IVSS</w:t>
            </w:r>
          </w:p>
        </w:tc>
        <w:tc>
          <w:p>
            <w:r>
              <w:rPr>
                <w:b w:val="false"/>
                <w:bCs w:val="false"/>
              </w:rPr>
              <w:t xml:space="preserve">Constancia de afiliación y cotizaciones al IVSS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FAOV / BVV</w:t>
            </w:r>
          </w:p>
        </w:tc>
        <w:tc>
          <w:p>
            <w:r>
              <w:rPr>
                <w:b w:val="false"/>
                <w:bCs w:val="false"/>
              </w:rPr>
              <w:t xml:space="preserve">Inscripción del trabajador en el FAOV (BVV)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FAOV / BVV</w:t>
            </w:r>
          </w:p>
        </w:tc>
        <w:tc>
          <w:p>
            <w:r>
              <w:rPr>
                <w:b w:val="false"/>
                <w:bCs w:val="false"/>
              </w:rPr>
              <w:t xml:space="preserve">Constancia de aportes al FAOV / BVV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INCES</w:t>
            </w:r>
          </w:p>
        </w:tc>
        <w:tc>
          <w:p>
            <w:r>
              <w:rPr>
                <w:b w:val="false"/>
                <w:bCs w:val="false"/>
              </w:rPr>
              <w:t xml:space="preserve">Inscripción de la empresa y del trabajador en el INCES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INCES</w:t>
            </w:r>
          </w:p>
        </w:tc>
        <w:tc>
          <w:p>
            <w:r>
              <w:rPr>
                <w:b w:val="false"/>
                <w:bCs w:val="false"/>
              </w:rPr>
              <w:t xml:space="preserve">Constancia de declaración y aportes al INCES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Paro forzoso</w:t>
            </w:r>
          </w:p>
        </w:tc>
        <w:tc>
          <w:p>
            <w:r>
              <w:rPr>
                <w:b w:val="false"/>
                <w:bCs w:val="false"/>
              </w:rPr>
              <w:t xml:space="preserve">Inscripción del trabajador en el régimen de paro forzoso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RIF</w:t>
            </w:r>
          </w:p>
        </w:tc>
        <w:tc>
          <w:p>
            <w:r>
              <w:rPr>
                <w:b w:val="false"/>
                <w:bCs w:val="false"/>
              </w:rPr>
              <w:t xml:space="preserve">Constancia de RIF del trabajador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</w:tbl>
    <w:p>
      <w:pPr>
        <w:pStyle w:val="Heading1"/>
      </w:pPr>
      <w:r>
        <w:t xml:space="preserve">Base legal</w:t>
      </w:r>
    </w:p>
    <w:p>
      <w:pPr>
        <w:spacing w:after="120"/>
        <w:jc w:val="both"/>
      </w:pPr>
      <w:r>
        <w:t xml:space="preserve">La inscripción y el aporte a la seguridad social y al régimen prestacional de vivienda y hábitat se rigen por las normas siguientes: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Observaciones</w:t>
      </w:r>
    </w:p>
    <w:p>
      <w:pPr>
        <w:spacing w:after="120"/>
      </w:pPr>
      <w:r>
        <w:rPr>
          <w:b/>
          <w:bCs/>
        </w:rPr>
        <w:t xml:space="preserve">Observaciones: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Responsable de la gestión: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Incorpore copia de cada constancia al expediente del trabajador y conserve el original cuando corresponda.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