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REGLAMENTO DE CAJA Y PROPINAS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El presente reglamento establece las normas para el manejo de la caja, los arqueos y la administración y el reparto de las propinas del personal de [COMPLETAR: razón social]. Su contenido se interpreta y aplica conforme a la legislación laboral vigente.</w:t>
      </w:r>
    </w:p>
    <w:p>
      <w:pPr>
        <w:spacing w:after="120"/>
      </w:pPr>
      <w:r>
        <w:rPr>
          <w:sz w:val="20"/>
          <w:szCs w:val="20"/>
        </w:rPr>
        <w:t xml:space="preserve">Definición de salario.</w:t>
      </w:r>
    </w:p>
    <w:p>
      <w:pPr>
        <w:pStyle w:val="Heading1"/>
      </w:pPr>
      <w:r>
        <w:t xml:space="preserve">CAPÍTULO I. Disposiciones generales</w:t>
      </w:r>
    </w:p>
    <w:p>
      <w:pPr>
        <w:pStyle w:val="ListParagraph"/>
        <w:numPr>
          <w:ilvl w:val="0"/>
          <w:numId w:val="2"/>
        </w:numPr>
      </w:pPr>
      <w:r>
        <w:t xml:space="preserve">El manejo de la caja se realiza únicamente por el personal autorizado.</w:t>
      </w:r>
    </w:p>
    <w:p>
      <w:pPr>
        <w:pStyle w:val="ListParagraph"/>
        <w:numPr>
          <w:ilvl w:val="0"/>
          <w:numId w:val="2"/>
        </w:numPr>
      </w:pPr>
      <w:r>
        <w:t xml:space="preserve">Cada turno inicia y cierra con el arqueo y el registro correspondiente.</w:t>
      </w:r>
    </w:p>
    <w:p>
      <w:pPr>
        <w:pStyle w:val="ListParagraph"/>
        <w:numPr>
          <w:ilvl w:val="0"/>
          <w:numId w:val="2"/>
        </w:numPr>
      </w:pPr>
      <w:r>
        <w:t xml:space="preserve">La caja se abre con el fondo fijo asignado y se cierra con el cuadre de las ventas.</w:t>
      </w:r>
    </w:p>
    <w:p>
      <w:pPr>
        <w:pStyle w:val="ListParagraph"/>
        <w:numPr>
          <w:ilvl w:val="0"/>
          <w:numId w:val="2"/>
        </w:numPr>
      </w:pPr>
      <w:r>
        <w:t xml:space="preserve">Las diferencias se documentan y se reportan de inmediato al supervisor.</w:t>
      </w:r>
    </w:p>
    <w:p>
      <w:pPr>
        <w:pStyle w:val="Heading1"/>
      </w:pPr>
      <w:r>
        <w:t xml:space="preserve">CAPÍTULO II. Apertura y cierre de caja</w:t>
      </w:r>
    </w:p>
    <w:p>
      <w:pPr>
        <w:spacing w:after="120"/>
      </w:pPr>
      <w:r>
        <w:rPr>
          <w:b/>
          <w:bCs/>
        </w:rPr>
        <w:t xml:space="preserve">Responsable de la caja: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Fondo fijo asignado: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Turno: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apertura: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apertura: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Monto de apertura: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Hora de cierre: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Monto de cierre: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CAPÍTULO III. Arqueo de caja</w:t>
      </w:r>
    </w:p>
    <w:p>
      <w:pPr>
        <w:spacing w:after="120"/>
        <w:jc w:val="both"/>
      </w:pPr>
      <w:r>
        <w:t xml:space="preserve">El arqueo se practica al cierre del turno y, de forma sorpresiva, cuando la empresa lo considere necesario. El arqueo compara el efectivo físico, los pagos electrónicos y las ventas registradas en el punto de venta.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Efectivo contado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Pagos electrónicos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Ventas registradas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Diferencia (faltante / sobrante)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p>
            <w:r>
              <w:rPr>
                <w:b/>
                <w:bCs/>
              </w:rPr>
              <w:t xml:space="preserve">Tipo de diferencia</w:t>
            </w:r>
          </w:p>
        </w:tc>
        <w:tc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Faltante</w:t>
            </w:r>
          </w:p>
        </w:tc>
        <w:tc>
          <w:p>
            <w:r>
              <w:rPr>
                <w:b w:val="false"/>
                <w:bCs w:val="false"/>
              </w:rPr>
              <w:t xml:space="preserve">Dinero menor al esperado al cierre del turno.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Sobrante</w:t>
            </w:r>
          </w:p>
        </w:tc>
        <w:tc>
          <w:p>
            <w:r>
              <w:rPr>
                <w:b w:val="false"/>
                <w:bCs w:val="false"/>
              </w:rPr>
              <w:t xml:space="preserve">Dinero mayor al esperado al cierre del turno.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 de cobro</w:t>
            </w:r>
          </w:p>
        </w:tc>
        <w:tc>
          <w:p>
            <w:r>
              <w:rPr>
                <w:b w:val="false"/>
                <w:bCs w:val="false"/>
              </w:rPr>
              <w:t xml:space="preserve">Monto cobrado distinto al registrado en el sistema.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Error de vuelto</w:t>
            </w:r>
          </w:p>
        </w:tc>
        <w:tc>
          <w:p>
            <w:r>
              <w:rPr>
                <w:b w:val="false"/>
                <w:bCs w:val="false"/>
              </w:rPr>
              <w:t xml:space="preserve">Devolución incorrecta de cambio al cliente.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Registro omitido</w:t>
            </w:r>
          </w:p>
        </w:tc>
        <w:tc>
          <w:p>
            <w:r>
              <w:rPr>
                <w:b w:val="false"/>
                <w:bCs w:val="false"/>
              </w:rPr>
              <w:t xml:space="preserve">Venta realizada sin registrar en el punto de venta.</w:t>
            </w:r>
          </w:p>
        </w:tc>
      </w:tr>
    </w:tbl>
    <w:p>
      <w:pPr>
        <w:spacing w:after="120"/>
      </w:pPr>
      <w:r>
        <w:rPr>
          <w:b/>
          <w:bCs/>
        </w:rPr>
        <w:t xml:space="preserve">Observaciones del arqueo: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CAPÍTULO IV. Faltantes y sobrantes</w:t>
      </w:r>
    </w:p>
    <w:p>
      <w:pPr>
        <w:pStyle w:val="ListParagraph"/>
        <w:numPr>
          <w:ilvl w:val="0"/>
          <w:numId w:val="2"/>
        </w:numPr>
      </w:pPr>
      <w:r>
        <w:t xml:space="preserve">El faltante injustificado se documenta y se informa al supervisor y a la administración.</w:t>
      </w:r>
    </w:p>
    <w:p>
      <w:pPr>
        <w:pStyle w:val="ListParagraph"/>
        <w:numPr>
          <w:ilvl w:val="0"/>
          <w:numId w:val="2"/>
        </w:numPr>
      </w:pPr>
      <w:r>
        <w:t xml:space="preserve">El sobrante se registra y se incorpora al cierre del turno.</w:t>
      </w:r>
    </w:p>
    <w:p>
      <w:pPr>
        <w:pStyle w:val="ListParagraph"/>
        <w:numPr>
          <w:ilvl w:val="0"/>
          <w:numId w:val="2"/>
        </w:numPr>
      </w:pPr>
      <w:r>
        <w:t xml:space="preserve">Cuando corresponda un descuento por faltante, se aplica solo con la autorización previa y por escrito del trabajador(ra), conforme a la ley.</w:t>
      </w:r>
    </w:p>
    <w:p>
      <w:pPr>
        <w:pStyle w:val="ListParagraph"/>
        <w:numPr>
          <w:ilvl w:val="0"/>
          <w:numId w:val="2"/>
        </w:numPr>
      </w:pPr>
      <w:r>
        <w:t xml:space="preserve">El faltante por error comprobado se corrige en el registro del turno.</w:t>
      </w:r>
    </w:p>
    <w:p>
      <w:pPr>
        <w:pStyle w:val="Heading1"/>
      </w:pPr>
      <w:r>
        <w:t xml:space="preserve">CAPÍTULO V. Propinas</w:t>
      </w:r>
    </w:p>
    <w:p>
      <w:pPr>
        <w:spacing w:after="120"/>
        <w:jc w:val="both"/>
      </w:pPr>
      <w:r>
        <w:t xml:space="preserve">Las propinas son cantidades entregadas voluntariamente por los clientes al personal. La empresa las administra por cuenta de los trabajadores y las trabajadoras, sin retenerlas indebidamente, y define la forma de registro y reparto entre el personal que participó en el servicio.</w:t>
      </w:r>
    </w:p>
    <w:p>
      <w:pPr>
        <w:pStyle w:val="ListParagraph"/>
        <w:numPr>
          <w:ilvl w:val="0"/>
          <w:numId w:val="2"/>
        </w:numPr>
      </w:pPr>
      <w:r>
        <w:t xml:space="preserve">Las propinas se registran diariamente, por separado del arqueo de caja.</w:t>
      </w:r>
    </w:p>
    <w:p>
      <w:pPr>
        <w:pStyle w:val="ListParagraph"/>
        <w:numPr>
          <w:ilvl w:val="0"/>
          <w:numId w:val="2"/>
        </w:numPr>
      </w:pPr>
      <w:r>
        <w:t xml:space="preserve">El reparto se realiza entre el personal que participó en el servicio del turno.</w:t>
      </w:r>
    </w:p>
    <w:p>
      <w:pPr>
        <w:pStyle w:val="ListParagraph"/>
        <w:numPr>
          <w:ilvl w:val="0"/>
          <w:numId w:val="2"/>
        </w:numPr>
      </w:pPr>
      <w:r>
        <w:t xml:space="preserve">El criterio de reparto se informa por escrito al personal.</w:t>
      </w:r>
    </w:p>
    <w:p>
      <w:pPr>
        <w:pStyle w:val="ListParagraph"/>
        <w:numPr>
          <w:ilvl w:val="0"/>
          <w:numId w:val="2"/>
        </w:numPr>
      </w:pPr>
      <w:r>
        <w:t xml:space="preserve">Las propinas no pueden ser retenidas indebidamente ni usadas para cubrir faltantes de caja.</w:t>
      </w:r>
    </w:p>
    <w:p>
      <w:pPr>
        <w:pStyle w:val="ListParagraph"/>
        <w:numPr>
          <w:ilvl w:val="0"/>
          <w:numId w:val="2"/>
        </w:numPr>
      </w:pPr>
      <w:r>
        <w:t xml:space="preserve">Cuando las propinas integren el salario conforme a la ley, se reflejan en el recibo de pago correspondiente.</w:t>
      </w:r>
    </w:p>
    <w:p>
      <w:pPr>
        <w:spacing w:after="120"/>
      </w:pPr>
      <w:r>
        <w:rPr>
          <w:b/>
          <w:bCs/>
        </w:rPr>
        <w:t xml:space="preserve">Criterio de reparto de propinas: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Responsable del registro de propinas: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CAPÍTULO VI. Prohibiciones</w:t>
      </w:r>
    </w:p>
    <w:p>
      <w:pPr>
        <w:pStyle w:val="ListParagraph"/>
        <w:numPr>
          <w:ilvl w:val="0"/>
          <w:numId w:val="2"/>
        </w:numPr>
      </w:pPr>
      <w:r>
        <w:t xml:space="preserve">Apropiarse de dinero, propinas o bienes de la empresa o de terceros.</w:t>
      </w:r>
    </w:p>
    <w:p>
      <w:pPr>
        <w:pStyle w:val="ListParagraph"/>
        <w:numPr>
          <w:ilvl w:val="0"/>
          <w:numId w:val="2"/>
        </w:numPr>
      </w:pPr>
      <w:r>
        <w:t xml:space="preserve">Realizar ventas sin registrar en el punto de venta.</w:t>
      </w:r>
    </w:p>
    <w:p>
      <w:pPr>
        <w:pStyle w:val="ListParagraph"/>
        <w:numPr>
          <w:ilvl w:val="0"/>
          <w:numId w:val="2"/>
        </w:numPr>
      </w:pPr>
      <w:r>
        <w:t xml:space="preserve">Modificar, anular o falsear registros de caja o de propinas.</w:t>
      </w:r>
    </w:p>
    <w:p>
      <w:pPr>
        <w:pStyle w:val="ListParagraph"/>
        <w:numPr>
          <w:ilvl w:val="0"/>
          <w:numId w:val="2"/>
        </w:numPr>
      </w:pPr>
      <w:r>
        <w:t xml:space="preserve">Compartir claves o accesos del sistema de caja con personas no autorizadas.</w:t>
      </w:r>
    </w:p>
    <w:p>
      <w:pPr>
        <w:pStyle w:val="Heading1"/>
      </w:pPr>
      <w:r>
        <w:t xml:space="preserve">CAPÍTULO VII. Sanciones</w:t>
      </w:r>
    </w:p>
    <w:p>
      <w:pPr>
        <w:spacing w:after="120"/>
        <w:jc w:val="both"/>
      </w:pPr>
      <w:r>
        <w:t xml:space="preserve">El incumplimiento de este reglamento se considera una falta leve, grave o muy grave, según el caso, y se sanciona conforme al reglamento interno, sin perjuicio de las responsabilidades legales que correspondan.</w:t>
      </w:r>
    </w:p>
    <w:p>
      <w:pPr>
        <w:pStyle w:val="Heading1"/>
      </w:pPr>
      <w:r>
        <w:t xml:space="preserve">Acuse de recibo</w:t>
      </w:r>
    </w:p>
    <w:p>
      <w:pPr>
        <w:spacing w:after="120"/>
        <w:jc w:val="both"/>
      </w:pPr>
      <w:r>
        <w:t xml:space="preserve">Declaro haber recibido y comprendido el presente Reglamento de Caja y Propinas, y me comprometo a respetarlo.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Reglamento de caja y propinas. Requiere revisión por abogado laboralista antes de su uso formal. Se entrega junto con el reglamento interno.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