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personas, conforme al orden de prelación legal: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de Beneficiarios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