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OriginalLexMLDocument" Type="http://www.lexml.gov.br/doc" Target="original.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C4C" w:rsidRPr="00E05234" w:rsidRDefault="00327C4C" w:rsidP="00E05234">
      <w:pPr>
        <w:pStyle w:val="DefaultParagraph"/>
      </w:pPr>
      <w:r w:rsidRPr="00E05234">
        <w:t>LEI Nº 14.530, DE 10 DE JANEIRO DE 2023</w:t>
      </w:r>
    </w:p>
    <w:p w:rsidR="00327C4C" w:rsidRPr="00E05234" w:rsidRDefault="00327C4C" w:rsidP="00E05234">
      <w:pPr>
        <w:pStyle w:val="DefaultParagraph"/>
      </w:pPr>
      <w:r w:rsidRPr="00E05234">
        <w:t>Altera a Lei nº 11.930, de 22 de abril de 2009, para facilitar a localização de doadores cadastrados no Registro Nacional de Doadores de Medula Óssea (Redome).</w:t>
      </w:r>
    </w:p>
    <w:p w:rsidR="00327C4C" w:rsidRPr="00E05234" w:rsidRDefault="00327C4C" w:rsidP="00E05234">
      <w:pPr>
        <w:pStyle w:val="DefaultParagraph"/>
      </w:pPr>
      <w:r w:rsidRPr="00E05234">
        <w:t>O PRESIDENTE DA REPÚBLICA</w:t>
      </w:r>
    </w:p>
    <w:p w:rsidR="00327C4C" w:rsidRPr="00E05234" w:rsidRDefault="00327C4C" w:rsidP="00E05234">
      <w:pPr>
        <w:pStyle w:val="DefaultParagraph"/>
      </w:pPr>
      <w:r w:rsidRPr="00E05234">
        <w:t>Faço saber que o Congresso Nacional decreta e eu sanciono a seguinte Lei:</w:t>
      </w:r>
    </w:p>
    <w:p w:rsidR="00327C4C" w:rsidRPr="00E05234" w:rsidRDefault="00327C4C" w:rsidP="00E05234">
      <w:pPr>
        <w:pStyle w:val="DefaultParagraph"/>
      </w:pPr>
      <w:r w:rsidRPr="00E05234">
        <w:t>Art. 1º Esta Lei altera a Lei nº 11.930, de 22 de abril de 2009, para facilitar a localização de doadores cadastrados no Registro Nacional de Doadores de Medula Óssea (Redome).</w:t>
      </w:r>
    </w:p>
    <w:p w:rsidR="00327C4C" w:rsidRPr="00E05234" w:rsidRDefault="00327C4C" w:rsidP="00E05234">
      <w:pPr>
        <w:pStyle w:val="DefaultParagraph"/>
      </w:pPr>
      <w:r w:rsidRPr="00E05234">
        <w:t>Art. 2º A ementa da Lei nº 11.930, de 22 de abril de 2009, passa a vigorar com a seguinte redação:</w:t>
      </w:r>
    </w:p>
    <w:p w:rsidR="00327C4C" w:rsidRPr="00E05234" w:rsidRDefault="00327C4C" w:rsidP="00E05234">
      <w:pPr>
        <w:pStyle w:val="DefaultParagraph"/>
      </w:pPr>
      <w:r w:rsidRPr="00E05234">
        <w:t>"Institui a Semana de Mobilização Nacional para Doação de Medula Óssea e dispõe sobre a localização de doadores de medula óssea."</w:t>
      </w:r>
    </w:p>
    <w:p w:rsidR="00327C4C" w:rsidRPr="00E05234" w:rsidRDefault="00327C4C" w:rsidP="00E05234">
      <w:pPr>
        <w:pStyle w:val="DefaultParagraph"/>
      </w:pPr>
      <w:r w:rsidRPr="00E05234">
        <w:t>Art. 3º A Lei nº 11.930, de 22 de abril de 2009, passa a vigorar com as seguintes alterações:</w:t>
      </w:r>
    </w:p>
    <w:p w:rsidR="00327C4C" w:rsidRPr="00E05234" w:rsidRDefault="00327C4C" w:rsidP="00E05234">
      <w:pPr>
        <w:pStyle w:val="DefaultParagraph"/>
      </w:pPr>
      <w:r w:rsidRPr="00E05234">
        <w:t>"Art. 1º Esta Lei institui a Semana de Mobilização Nacional para Doação de Medula Óssea e dispõe sobre a localização de doadores de medula óssea." (NR)</w:t>
      </w:r>
    </w:p>
    <w:p w:rsidR="00327C4C" w:rsidRPr="00E05234" w:rsidRDefault="00327C4C" w:rsidP="00E05234">
      <w:pPr>
        <w:pStyle w:val="DefaultParagraph"/>
      </w:pPr>
      <w:r w:rsidRPr="00E05234">
        <w:t>"Art. 2º-A. Os doadores voluntários de medula óssea deverão fornecer ao Redome os dados necessários à sua localização."</w:t>
      </w:r>
    </w:p>
    <w:p w:rsidR="00327C4C" w:rsidRPr="00E05234" w:rsidRDefault="00327C4C" w:rsidP="00E05234">
      <w:pPr>
        <w:pStyle w:val="DefaultParagraph"/>
      </w:pPr>
      <w:r w:rsidRPr="00E05234">
        <w:t>"Art. 2º-B. Os gestores do Redome ou os hemocentros terão acesso, mediante simples requisição a órgãos ou a entidades da administração direta e indireta da União, dos Estados, do Distrito Federal e dos Municípios, aos dados necessários à localização de doadores voluntários de medula óssea que estiverem em seus registros ou nos registros das entidades por eles fiscalizadas, quando a tentativa de localizar esses doadores por meio dos dados cadastrados no Redome for infrutífera ou inviabilizada.</w:t>
      </w:r>
    </w:p>
    <w:p w:rsidR="00327C4C" w:rsidRPr="00E05234" w:rsidRDefault="00327C4C" w:rsidP="00E05234">
      <w:pPr>
        <w:pStyle w:val="DefaultParagraph"/>
      </w:pPr>
      <w:r w:rsidRPr="00E05234">
        <w:t>Parágrafo único. A requisição de que trata o caput deste artigo também poderá ser encaminhada, pelos gestores do Redome ou pelos hemocentros, diretamente a:</w:t>
      </w:r>
    </w:p>
    <w:p w:rsidR="00327C4C" w:rsidRPr="00E05234" w:rsidRDefault="00327C4C" w:rsidP="00E05234">
      <w:pPr>
        <w:pStyle w:val="DefaultParagraph"/>
      </w:pPr>
      <w:r w:rsidRPr="00E05234">
        <w:t>I - concessionárias, permissionárias e autorizatárias de serviços públicos;</w:t>
      </w:r>
    </w:p>
    <w:p w:rsidR="00327C4C" w:rsidRPr="00E05234" w:rsidRDefault="00327C4C" w:rsidP="00E05234">
      <w:pPr>
        <w:pStyle w:val="DefaultParagraph"/>
      </w:pPr>
      <w:r w:rsidRPr="00E05234">
        <w:t>II - entidades fiscalizadas pelos órgãos ou entidades de que trata o caput deste artigo ou que com eles tenham firmado acordo de cooperação, termo de parceria ou instrumentos congêneres; e</w:t>
      </w:r>
    </w:p>
    <w:p w:rsidR="00327C4C" w:rsidRPr="00E05234" w:rsidRDefault="00327C4C" w:rsidP="00E05234">
      <w:pPr>
        <w:pStyle w:val="DefaultParagraph"/>
      </w:pPr>
      <w:r w:rsidRPr="00E05234">
        <w:t>III - gestores de bancos de dados de proteção ao crédito."</w:t>
      </w:r>
    </w:p>
    <w:p w:rsidR="00327C4C" w:rsidRPr="00E05234" w:rsidRDefault="00327C4C" w:rsidP="00E05234">
      <w:pPr>
        <w:pStyle w:val="DefaultParagraph"/>
      </w:pPr>
      <w:r w:rsidRPr="00E05234">
        <w:t>"Art. 2º-C. Se o contato com o doador voluntário de medula óssea restar infrutífero ou inviabilizado após a requisição de acesso aos dados cadastrais de que trata o art. 2º-B desta Lei, os gestores do Redome ou os hemocentros poderão obter, na forma prevista pelo referido artigo, os nomes e os dados cadastrais do cônjuge, ou do companheiro ou companheira do doador, ou de parentes, consanguíneos ou afins, em linha reta ou colateral, até o terceiro grau, a fim de tentar realizar contato com o doador por intermédio dessas pessoas."</w:t>
      </w:r>
    </w:p>
    <w:p w:rsidR="00327C4C" w:rsidRPr="00E05234" w:rsidRDefault="00327C4C" w:rsidP="00E05234">
      <w:pPr>
        <w:pStyle w:val="DefaultParagraph"/>
      </w:pPr>
      <w:r w:rsidRPr="00E05234">
        <w:t>"Art. 2º-D. (VETADO)."</w:t>
      </w:r>
    </w:p>
    <w:p w:rsidR="00327C4C" w:rsidRPr="00E05234" w:rsidRDefault="00327C4C" w:rsidP="00E05234">
      <w:pPr>
        <w:pStyle w:val="DefaultParagraph"/>
      </w:pPr>
      <w:r w:rsidRPr="00E05234">
        <w:t>"Art. 2º-E. As informações requisitadas nos termos dos arts. 2º-B a 2º-D desta Lei serão fornecidas no prazo máximo de 3 (três) dias úteis, contado do recebimento da requisição, e o descumprimento desse prazo acarretará multa no valor de 1 (um) a 100 (cem) salários mínimos por dia de atraso, sem prejuízo de eventual responsabilização nas esferas administrativa, civil e penal.</w:t>
      </w:r>
    </w:p>
    <w:p w:rsidR="00327C4C" w:rsidRPr="00E05234" w:rsidRDefault="00327C4C" w:rsidP="00E05234">
      <w:pPr>
        <w:pStyle w:val="DefaultParagraph"/>
      </w:pPr>
      <w:r w:rsidRPr="00E05234">
        <w:t>§ 1º A multa de que trata o caput deste artigo será aplicada por autoridade a ser definida em regulamento a esta Lei.</w:t>
      </w:r>
    </w:p>
    <w:p w:rsidR="00327C4C" w:rsidRPr="00E05234" w:rsidRDefault="00327C4C" w:rsidP="00E05234">
      <w:pPr>
        <w:pStyle w:val="DefaultParagraph"/>
      </w:pPr>
      <w:r w:rsidRPr="00E05234">
        <w:t>§ 2º A determinação do valor da multa diária, a ser aplicada nos termos do caput deste artigo, deverá considerar a gravidade da omissão existente e o poder econômico do infrator.</w:t>
      </w:r>
    </w:p>
    <w:p w:rsidR="00327C4C" w:rsidRPr="00E05234" w:rsidRDefault="00327C4C" w:rsidP="00E05234">
      <w:pPr>
        <w:pStyle w:val="DefaultParagraph"/>
      </w:pPr>
      <w:r w:rsidRPr="00E05234">
        <w:t>§ 3º Os recursos decorrentes das multas aplicadas com base no caput deste artigo serão destinados ao Instituto Nacional de Câncer José Alencar Gomes da Silva (Inca) e ao Ministério da Saúde, na proporção de 50% (cinquenta por cento) para cada."</w:t>
      </w:r>
    </w:p>
    <w:p w:rsidR="005A15F4" w:rsidRPr="00E05234" w:rsidRDefault="00327C4C" w:rsidP="005A7E18">
      <w:pPr>
        <w:pStyle w:val="DefaultParagraph"/>
      </w:pPr>
      <w:r w:rsidRPr="00E05234">
        <w:lastRenderedPageBreak/>
        <w:t>Art. 4º Esta Lei entra em vigor na data de sua publicação.</w:t>
      </w:r>
      <w:bookmarkStart w:id="0" w:name="_GoBack"/>
      <w:bookmarkEnd w:id="0"/>
    </w:p>
    <w:sectPr w:rsidR="005A15F4" w:rsidRPr="00E05234">
      <w:endnotePr>
        <w:numFmt w:val="chicago"/>
      </w:endnotePr>
      <w:pgSz w:w="11906" w:h="16838"/>
      <w:pgMar w:top="1417" w:right="1701" w:bottom="1417" w:left="1701" w:header="0" w:footer="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22D5" w:rsidRDefault="00122005">
      <w:pPr>
        <w:pStyle w:val="DefaultParagraph"/>
      </w:pPr>
      <w:r>
        <w:separator/>
      </w:r>
    </w:p>
  </w:endnote>
  <w:endnote w:type="continuationSeparator" w:id="0">
    <w:p w:rsidR="007422D5" w:rsidRDefault="00122005">
      <w:pPr>
        <w:pStyle w:val="Default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5CCD" w:rsidRDefault="00122005">
      <w:r>
        <w:separator/>
      </w:r>
    </w:p>
  </w:footnote>
  <w:footnote w:type="continuationSeparator" w:id="0">
    <w:p w:rsidR="00D05CCD" w:rsidRDefault="001220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footnotePr>
    <w:footnote w:id="-1"/>
    <w:footnote w:id="0"/>
  </w:footnotePr>
  <w:endnotePr>
    <w:pos w:val="sectEnd"/>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2D5"/>
    <w:rsid w:val="00001CB2"/>
    <w:rsid w:val="00010BAA"/>
    <w:rsid w:val="00017882"/>
    <w:rsid w:val="000269D2"/>
    <w:rsid w:val="0003246D"/>
    <w:rsid w:val="0003767C"/>
    <w:rsid w:val="000458BB"/>
    <w:rsid w:val="000602D2"/>
    <w:rsid w:val="00074A26"/>
    <w:rsid w:val="000A1FE7"/>
    <w:rsid w:val="000B12CE"/>
    <w:rsid w:val="000D3388"/>
    <w:rsid w:val="000D6647"/>
    <w:rsid w:val="000F4051"/>
    <w:rsid w:val="000F4D8A"/>
    <w:rsid w:val="000F4E31"/>
    <w:rsid w:val="001154BE"/>
    <w:rsid w:val="00120107"/>
    <w:rsid w:val="00121851"/>
    <w:rsid w:val="00122005"/>
    <w:rsid w:val="0012758D"/>
    <w:rsid w:val="001315F2"/>
    <w:rsid w:val="001339B3"/>
    <w:rsid w:val="0014585B"/>
    <w:rsid w:val="001537CB"/>
    <w:rsid w:val="001C3D4D"/>
    <w:rsid w:val="001C70E2"/>
    <w:rsid w:val="001E6469"/>
    <w:rsid w:val="00201BE5"/>
    <w:rsid w:val="0021361F"/>
    <w:rsid w:val="00214AF6"/>
    <w:rsid w:val="0025563A"/>
    <w:rsid w:val="002B5CBF"/>
    <w:rsid w:val="002E1A4C"/>
    <w:rsid w:val="0030547B"/>
    <w:rsid w:val="003114BD"/>
    <w:rsid w:val="00323701"/>
    <w:rsid w:val="00327C4C"/>
    <w:rsid w:val="00372C7B"/>
    <w:rsid w:val="0037400B"/>
    <w:rsid w:val="003771D6"/>
    <w:rsid w:val="00393D3A"/>
    <w:rsid w:val="003961D1"/>
    <w:rsid w:val="003E6E7D"/>
    <w:rsid w:val="004026D7"/>
    <w:rsid w:val="00406E28"/>
    <w:rsid w:val="00416E8E"/>
    <w:rsid w:val="004A27EC"/>
    <w:rsid w:val="004C27E1"/>
    <w:rsid w:val="004E4D71"/>
    <w:rsid w:val="004E5872"/>
    <w:rsid w:val="00514499"/>
    <w:rsid w:val="00533689"/>
    <w:rsid w:val="00555853"/>
    <w:rsid w:val="00575800"/>
    <w:rsid w:val="00595048"/>
    <w:rsid w:val="005A15F4"/>
    <w:rsid w:val="005A7E18"/>
    <w:rsid w:val="005E3D1C"/>
    <w:rsid w:val="00653F2A"/>
    <w:rsid w:val="0067176E"/>
    <w:rsid w:val="00673D5D"/>
    <w:rsid w:val="00675C8A"/>
    <w:rsid w:val="00697B54"/>
    <w:rsid w:val="00726BEE"/>
    <w:rsid w:val="007422D5"/>
    <w:rsid w:val="00747444"/>
    <w:rsid w:val="007617D7"/>
    <w:rsid w:val="00777A3D"/>
    <w:rsid w:val="00791FB1"/>
    <w:rsid w:val="007A431F"/>
    <w:rsid w:val="007C14E7"/>
    <w:rsid w:val="007C58C3"/>
    <w:rsid w:val="007F53D3"/>
    <w:rsid w:val="00806F32"/>
    <w:rsid w:val="008431E3"/>
    <w:rsid w:val="008523F3"/>
    <w:rsid w:val="0086029F"/>
    <w:rsid w:val="00862E1B"/>
    <w:rsid w:val="00870F46"/>
    <w:rsid w:val="00875C4B"/>
    <w:rsid w:val="008D1853"/>
    <w:rsid w:val="008D3C94"/>
    <w:rsid w:val="009250BA"/>
    <w:rsid w:val="009459A0"/>
    <w:rsid w:val="00955EAF"/>
    <w:rsid w:val="0096674D"/>
    <w:rsid w:val="00970344"/>
    <w:rsid w:val="00971BDF"/>
    <w:rsid w:val="00971D1F"/>
    <w:rsid w:val="00993044"/>
    <w:rsid w:val="009B646F"/>
    <w:rsid w:val="009D6686"/>
    <w:rsid w:val="009E254D"/>
    <w:rsid w:val="00A07BBA"/>
    <w:rsid w:val="00A118EF"/>
    <w:rsid w:val="00A166C3"/>
    <w:rsid w:val="00A2346B"/>
    <w:rsid w:val="00A253CE"/>
    <w:rsid w:val="00A306B2"/>
    <w:rsid w:val="00A519A5"/>
    <w:rsid w:val="00A71E2C"/>
    <w:rsid w:val="00A842B4"/>
    <w:rsid w:val="00AA1850"/>
    <w:rsid w:val="00AB1E58"/>
    <w:rsid w:val="00AB46CF"/>
    <w:rsid w:val="00AE5BF7"/>
    <w:rsid w:val="00AF1B7A"/>
    <w:rsid w:val="00B1500B"/>
    <w:rsid w:val="00B15CDD"/>
    <w:rsid w:val="00B1645E"/>
    <w:rsid w:val="00B3616A"/>
    <w:rsid w:val="00B543FE"/>
    <w:rsid w:val="00B617D6"/>
    <w:rsid w:val="00BB1F2E"/>
    <w:rsid w:val="00BC2400"/>
    <w:rsid w:val="00BC5666"/>
    <w:rsid w:val="00BD7AD6"/>
    <w:rsid w:val="00BE11E7"/>
    <w:rsid w:val="00C310FA"/>
    <w:rsid w:val="00C64FAD"/>
    <w:rsid w:val="00C6623F"/>
    <w:rsid w:val="00C739EE"/>
    <w:rsid w:val="00C802B8"/>
    <w:rsid w:val="00C95E19"/>
    <w:rsid w:val="00CD37A9"/>
    <w:rsid w:val="00CD3EF0"/>
    <w:rsid w:val="00CD6C44"/>
    <w:rsid w:val="00D05CCD"/>
    <w:rsid w:val="00D1199D"/>
    <w:rsid w:val="00D60C6D"/>
    <w:rsid w:val="00D91A97"/>
    <w:rsid w:val="00DB22C2"/>
    <w:rsid w:val="00DC1AB5"/>
    <w:rsid w:val="00DD4401"/>
    <w:rsid w:val="00DE7E86"/>
    <w:rsid w:val="00E05234"/>
    <w:rsid w:val="00E1695D"/>
    <w:rsid w:val="00E17D1B"/>
    <w:rsid w:val="00E2544B"/>
    <w:rsid w:val="00E25EAD"/>
    <w:rsid w:val="00EA0C16"/>
    <w:rsid w:val="00EB2FAB"/>
    <w:rsid w:val="00ED605C"/>
    <w:rsid w:val="00ED68CE"/>
    <w:rsid w:val="00EE302D"/>
    <w:rsid w:val="00F1783D"/>
    <w:rsid w:val="00F20DF8"/>
    <w:rsid w:val="00F3100A"/>
    <w:rsid w:val="00F344B6"/>
    <w:rsid w:val="00F34E21"/>
    <w:rsid w:val="00F56D26"/>
    <w:rsid w:val="00F936D7"/>
    <w:rsid w:val="00F9459A"/>
    <w:rsid w:val="00F94BEF"/>
    <w:rsid w:val="00FD68F7"/>
    <w:rsid w:val="00FF122F"/>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9BF06B-D024-4720-B8F1-D1B74CCC7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Arial"/>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pPr>
      <w:tabs>
        <w:tab w:val="right" w:leader="dot" w:pos="8496"/>
      </w:tabs>
      <w:spacing w:after="120"/>
      <w:ind w:firstLine="567"/>
      <w:jc w:val="both"/>
    </w:pPr>
  </w:style>
  <w:style w:type="character" w:customStyle="1" w:styleId="DefaultCharacter">
    <w:name w:val="Default Character"/>
    <w:link w:val="DefaultParagraph"/>
    <w:uiPriority w:val="1"/>
    <w:qFormat/>
    <w:rPr>
      <w:rFonts w:ascii="Arial" w:hAnsi="Arial" w:cs="Arial"/>
      <w:sz w:val="20"/>
      <w:szCs w:val="20"/>
    </w:rPr>
  </w:style>
  <w:style w:type="paragraph" w:customStyle="1" w:styleId="Epigrafeparagrafo">
    <w:name w:val="Epigrafe (paragrafo)"/>
    <w:basedOn w:val="DefaultParagraph"/>
    <w:link w:val="Epigrafecaractere"/>
    <w:uiPriority w:val="1"/>
    <w:qFormat/>
    <w:pPr>
      <w:spacing w:before="240" w:after="240"/>
      <w:ind w:firstLine="0"/>
      <w:jc w:val="center"/>
    </w:pPr>
  </w:style>
  <w:style w:type="character" w:customStyle="1" w:styleId="Epigrafecaractere">
    <w:name w:val="Epigrafe (caractere)"/>
    <w:basedOn w:val="DefaultCharacter"/>
    <w:link w:val="Epigrafeparagrafo"/>
    <w:uiPriority w:val="1"/>
    <w:qFormat/>
    <w:rPr>
      <w:rFonts w:ascii="Arial" w:hAnsi="Arial" w:cs="Arial"/>
      <w:b/>
      <w:bCs/>
      <w:caps/>
      <w:sz w:val="24"/>
      <w:szCs w:val="24"/>
    </w:rPr>
  </w:style>
  <w:style w:type="paragraph" w:customStyle="1" w:styleId="Ementaparagrafo">
    <w:name w:val="Ementa (paragrafo)"/>
    <w:basedOn w:val="DefaultParagraph"/>
    <w:link w:val="Ementacaractere"/>
    <w:uiPriority w:val="1"/>
    <w:qFormat/>
    <w:pPr>
      <w:spacing w:after="240" w:line="240" w:lineRule="atLeast"/>
      <w:ind w:left="3969" w:firstLine="0"/>
    </w:pPr>
  </w:style>
  <w:style w:type="character" w:customStyle="1" w:styleId="Ementacaractere">
    <w:name w:val="Ementa (caractere)"/>
    <w:basedOn w:val="DefaultCharacter"/>
    <w:link w:val="Ementaparagrafo"/>
    <w:uiPriority w:val="1"/>
    <w:qFormat/>
    <w:rPr>
      <w:rFonts w:ascii="Arial" w:hAnsi="Arial" w:cs="Arial"/>
      <w:b/>
      <w:i/>
      <w:sz w:val="18"/>
      <w:szCs w:val="18"/>
    </w:rPr>
  </w:style>
  <w:style w:type="paragraph" w:customStyle="1" w:styleId="Preambuloparagrafo">
    <w:name w:val="Preambulo (paragrafo)"/>
    <w:basedOn w:val="DefaultParagraph"/>
    <w:link w:val="Preambulocaractere"/>
    <w:uiPriority w:val="1"/>
    <w:qFormat/>
    <w:pPr>
      <w:spacing w:line="240" w:lineRule="atLeast"/>
    </w:pPr>
  </w:style>
  <w:style w:type="character" w:customStyle="1" w:styleId="Preambulocaractere">
    <w:name w:val="Preambulo (caractere)"/>
    <w:basedOn w:val="DefaultCharacter"/>
    <w:link w:val="Preambuloparagrafo"/>
    <w:uiPriority w:val="1"/>
    <w:qFormat/>
    <w:rPr>
      <w:rFonts w:ascii="Arial" w:hAnsi="Arial" w:cs="Arial"/>
      <w:sz w:val="20"/>
      <w:szCs w:val="20"/>
    </w:rPr>
  </w:style>
  <w:style w:type="paragraph" w:customStyle="1" w:styleId="NomedeAgrupadorparagrafo">
    <w:name w:val="Nome de Agrupador (paragrafo)"/>
    <w:basedOn w:val="DefaultParagraph"/>
    <w:link w:val="NomedeAgrupadorcaracter"/>
    <w:uiPriority w:val="1"/>
    <w:qFormat/>
    <w:pPr>
      <w:ind w:firstLine="0"/>
      <w:jc w:val="center"/>
    </w:pPr>
  </w:style>
  <w:style w:type="character" w:customStyle="1" w:styleId="NomedeAgrupadorcaracter">
    <w:name w:val="Nome de Agrupador (caracter)"/>
    <w:basedOn w:val="DefaultCharacter"/>
    <w:link w:val="NomedeAgrupadorparagrafo"/>
    <w:uiPriority w:val="1"/>
    <w:qFormat/>
    <w:rPr>
      <w:rFonts w:ascii="Arial" w:hAnsi="Arial" w:cs="Arial"/>
      <w:i/>
      <w:caps/>
      <w:sz w:val="22"/>
      <w:szCs w:val="22"/>
    </w:rPr>
  </w:style>
  <w:style w:type="paragraph" w:customStyle="1" w:styleId="RotulodeAgrupadorparagrafo">
    <w:name w:val="Rotulo de Agrupador (paragrafo)"/>
    <w:basedOn w:val="DefaultParagraph"/>
    <w:link w:val="RotulodeAgrupadorcaracter"/>
    <w:uiPriority w:val="1"/>
    <w:qFormat/>
    <w:pPr>
      <w:ind w:firstLine="0"/>
      <w:jc w:val="center"/>
    </w:pPr>
  </w:style>
  <w:style w:type="character" w:customStyle="1" w:styleId="RotulodeAgrupadorcaracter">
    <w:name w:val="Rotulo de Agrupador (caracter)"/>
    <w:basedOn w:val="DefaultCharacter"/>
    <w:link w:val="RotulodeAgrupadorparagrafo"/>
    <w:uiPriority w:val="1"/>
    <w:qFormat/>
    <w:rPr>
      <w:rFonts w:ascii="Arial" w:hAnsi="Arial" w:cs="Arial"/>
      <w:b/>
      <w:caps/>
      <w:sz w:val="24"/>
      <w:szCs w:val="24"/>
    </w:rPr>
  </w:style>
  <w:style w:type="character" w:customStyle="1" w:styleId="RotulodeSecaoeSubsecaocaractere">
    <w:name w:val="Rotulo de Secao e Subsecao (caractere)"/>
    <w:basedOn w:val="RotulodeAgrupadorcaracter"/>
    <w:uiPriority w:val="1"/>
    <w:qFormat/>
    <w:rPr>
      <w:rFonts w:ascii="Arial" w:hAnsi="Arial" w:cs="Arial"/>
      <w:b/>
      <w:caps w:val="0"/>
      <w:smallCaps w:val="0"/>
      <w:sz w:val="24"/>
      <w:szCs w:val="24"/>
    </w:rPr>
  </w:style>
  <w:style w:type="character" w:customStyle="1" w:styleId="SecaoeSubsecaocaractere">
    <w:name w:val="Secao e Subsecao (caractere)"/>
    <w:basedOn w:val="DefaultCharacter"/>
    <w:uiPriority w:val="1"/>
    <w:qFormat/>
    <w:rPr>
      <w:rFonts w:ascii="Arial" w:hAnsi="Arial" w:cs="Arial"/>
      <w:i/>
      <w:sz w:val="22"/>
      <w:szCs w:val="22"/>
    </w:rPr>
  </w:style>
  <w:style w:type="paragraph" w:customStyle="1" w:styleId="ConteudodeDispositivoparagrafo">
    <w:name w:val="Conteudo de Dispositivo (paragrafo)"/>
    <w:basedOn w:val="DefaultParagraph"/>
    <w:uiPriority w:val="1"/>
    <w:qFormat/>
  </w:style>
  <w:style w:type="character" w:customStyle="1" w:styleId="TitulodeArtigocaractere">
    <w:name w:val="Titulo de Artigo (caractere)"/>
    <w:basedOn w:val="DefaultCharacter"/>
    <w:uiPriority w:val="1"/>
    <w:qFormat/>
    <w:rPr>
      <w:rFonts w:ascii="Arial" w:hAnsi="Arial" w:cs="Arial"/>
      <w:b/>
      <w:bCs/>
      <w:sz w:val="20"/>
      <w:szCs w:val="20"/>
    </w:rPr>
  </w:style>
  <w:style w:type="character" w:customStyle="1" w:styleId="Remissaocaractere">
    <w:name w:val="Remissao (caractere)"/>
    <w:basedOn w:val="DefaultCharacter"/>
    <w:uiPriority w:val="1"/>
    <w:qFormat/>
    <w:rPr>
      <w:rFonts w:ascii="Arial" w:hAnsi="Arial" w:cs="Arial"/>
      <w:color w:val="333333"/>
      <w:sz w:val="20"/>
      <w:szCs w:val="20"/>
    </w:rPr>
  </w:style>
  <w:style w:type="paragraph" w:customStyle="1" w:styleId="FormulaPromulgacaoparagrafo">
    <w:name w:val="FormulaPromulgacao (paragrafo)"/>
    <w:basedOn w:val="DefaultParagraph"/>
    <w:link w:val="FormulaPromulgacaocaracter"/>
    <w:uiPriority w:val="1"/>
    <w:qFormat/>
  </w:style>
  <w:style w:type="character" w:customStyle="1" w:styleId="FormulaPromulgacaocaracter">
    <w:name w:val="FormulaPromulgacao (caracter)"/>
    <w:basedOn w:val="DefaultCharacter"/>
    <w:link w:val="FormulaPromulgacaoparagrafo"/>
    <w:uiPriority w:val="1"/>
    <w:qFormat/>
    <w:rPr>
      <w:rFonts w:ascii="Arial" w:hAnsi="Arial" w:cs="Arial"/>
      <w:sz w:val="20"/>
      <w:szCs w:val="20"/>
    </w:rPr>
  </w:style>
  <w:style w:type="paragraph" w:customStyle="1" w:styleId="LocalDataFechoparagrafo">
    <w:name w:val="LocalDataFecho (paragrafo)"/>
    <w:basedOn w:val="DefaultParagraph"/>
    <w:link w:val="LocalDataFechocaracter"/>
    <w:uiPriority w:val="1"/>
    <w:qFormat/>
    <w:pPr>
      <w:spacing w:before="240" w:line="240" w:lineRule="atLeast"/>
    </w:pPr>
  </w:style>
  <w:style w:type="character" w:customStyle="1" w:styleId="LocalDataFechocaracter">
    <w:name w:val="LocalDataFecho (caracter)"/>
    <w:basedOn w:val="DefaultCharacter"/>
    <w:link w:val="LocalDataFechoparagrafo"/>
    <w:uiPriority w:val="1"/>
    <w:qFormat/>
    <w:rPr>
      <w:rFonts w:ascii="Arial" w:hAnsi="Arial" w:cs="Arial"/>
      <w:sz w:val="20"/>
      <w:szCs w:val="20"/>
    </w:rPr>
  </w:style>
  <w:style w:type="paragraph" w:customStyle="1" w:styleId="AssinaturaTextoparagrafo">
    <w:name w:val="AssinaturaTexto (paragrafo)"/>
    <w:basedOn w:val="DefaultParagraph"/>
    <w:link w:val="AssinaturaTextocaracter"/>
    <w:uiPriority w:val="1"/>
    <w:qFormat/>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Pr>
      <w:rFonts w:ascii="Arial" w:hAnsi="Arial" w:cs="Arial"/>
      <w:sz w:val="20"/>
      <w:szCs w:val="20"/>
    </w:rPr>
  </w:style>
  <w:style w:type="paragraph" w:customStyle="1" w:styleId="TtulodeDispositivoparagrafo">
    <w:name w:val="Título de Dispositivo (paragrafo)"/>
    <w:basedOn w:val="DefaultParagraph"/>
    <w:uiPriority w:val="1"/>
    <w:qFormat/>
    <w:pPr>
      <w:ind w:firstLine="0"/>
    </w:pPr>
  </w:style>
  <w:style w:type="character" w:customStyle="1" w:styleId="NotaReferenciada">
    <w:name w:val="Nota Referenciada"/>
    <w:basedOn w:val="DefaultCharacter"/>
    <w:uiPriority w:val="1"/>
    <w:qFormat/>
    <w:rPr>
      <w:rFonts w:ascii="Arial" w:hAnsi="Arial" w:cs="Arial"/>
      <w:sz w:val="20"/>
      <w:szCs w:val="20"/>
    </w:rPr>
  </w:style>
  <w:style w:type="paragraph" w:styleId="Textodenotadefim">
    <w:name w:val="endnote text"/>
    <w:link w:val="TextodenotadefimChar"/>
    <w:uiPriority w:val="99"/>
  </w:style>
  <w:style w:type="character" w:customStyle="1" w:styleId="TextodenotadefimChar">
    <w:name w:val="Texto de nota de fim Char"/>
    <w:link w:val="Textodenotadefim"/>
    <w:uiPriority w:val="99"/>
  </w:style>
  <w:style w:type="character" w:styleId="Refdenotadefim">
    <w:name w:val="endnote reference"/>
    <w:basedOn w:val="DefaultCharacter"/>
    <w:uiPriority w:val="99"/>
    <w:rPr>
      <w:rFonts w:ascii="Arial" w:hAnsi="Arial" w:cs="Arial"/>
      <w:sz w:val="20"/>
      <w:szCs w:val="20"/>
      <w:vertAlign w:val="superscript"/>
    </w:rPr>
  </w:style>
  <w:style w:type="paragraph" w:styleId="NormalWeb">
    <w:name w:val="Normal (Web)"/>
    <w:basedOn w:val="Normal"/>
    <w:uiPriority w:val="99"/>
    <w:semiHidden/>
    <w:unhideWhenUsed/>
    <w:rsid w:val="00777A3D"/>
    <w:pPr>
      <w:spacing w:before="100" w:beforeAutospacing="1" w:after="100" w:afterAutospacing="1"/>
    </w:pPr>
    <w:rPr>
      <w:rFonts w:ascii="Times New Roman" w:hAnsi="Times New Roman" w:cs="Times New Roman"/>
      <w:sz w:val="24"/>
      <w:szCs w:val="24"/>
    </w:rPr>
  </w:style>
  <w:style w:type="character" w:styleId="Forte">
    <w:name w:val="Strong"/>
    <w:basedOn w:val="Fontepargpadro"/>
    <w:uiPriority w:val="22"/>
    <w:qFormat/>
    <w:rsid w:val="00777A3D"/>
    <w:rPr>
      <w:b/>
      <w:bCs/>
    </w:rPr>
  </w:style>
  <w:style w:type="character" w:styleId="nfase">
    <w:name w:val="Emphasis"/>
    <w:basedOn w:val="Fontepargpadro"/>
    <w:uiPriority w:val="20"/>
    <w:qFormat/>
    <w:rsid w:val="00777A3D"/>
    <w:rPr>
      <w:i/>
      <w:iCs/>
    </w:rPr>
  </w:style>
  <w:style w:type="paragraph" w:customStyle="1" w:styleId="identifica">
    <w:name w:val="identifica"/>
    <w:basedOn w:val="Normal"/>
    <w:rsid w:val="001154BE"/>
    <w:pPr>
      <w:spacing w:before="100" w:beforeAutospacing="1" w:after="100" w:afterAutospacing="1"/>
    </w:pPr>
    <w:rPr>
      <w:rFonts w:ascii="Times New Roman" w:hAnsi="Times New Roman" w:cs="Times New Roman"/>
      <w:sz w:val="24"/>
      <w:szCs w:val="24"/>
    </w:rPr>
  </w:style>
  <w:style w:type="paragraph" w:customStyle="1" w:styleId="ementa">
    <w:name w:val="ementa"/>
    <w:basedOn w:val="Normal"/>
    <w:rsid w:val="001154BE"/>
    <w:pPr>
      <w:spacing w:before="100" w:beforeAutospacing="1" w:after="100" w:afterAutospacing="1"/>
    </w:pPr>
    <w:rPr>
      <w:rFonts w:ascii="Times New Roman" w:hAnsi="Times New Roman" w:cs="Times New Roman"/>
      <w:sz w:val="24"/>
      <w:szCs w:val="24"/>
    </w:rPr>
  </w:style>
  <w:style w:type="paragraph" w:customStyle="1" w:styleId="data">
    <w:name w:val="data"/>
    <w:basedOn w:val="Normal"/>
    <w:rsid w:val="001154BE"/>
    <w:pPr>
      <w:spacing w:before="100" w:beforeAutospacing="1" w:after="100" w:afterAutospacing="1"/>
    </w:pPr>
    <w:rPr>
      <w:rFonts w:ascii="Times New Roman" w:hAnsi="Times New Roman" w:cs="Times New Roman"/>
      <w:sz w:val="24"/>
      <w:szCs w:val="24"/>
    </w:rPr>
  </w:style>
  <w:style w:type="paragraph" w:customStyle="1" w:styleId="assina">
    <w:name w:val="assina"/>
    <w:basedOn w:val="Normal"/>
    <w:rsid w:val="001154BE"/>
    <w:pPr>
      <w:spacing w:before="100" w:beforeAutospacing="1" w:after="100" w:afterAutospacing="1"/>
    </w:pPr>
    <w:rPr>
      <w:rFonts w:ascii="Times New Roman" w:hAnsi="Times New Roman" w:cs="Times New Roman"/>
      <w:sz w:val="24"/>
      <w:szCs w:val="24"/>
    </w:rPr>
  </w:style>
  <w:style w:type="paragraph" w:customStyle="1" w:styleId="cargo">
    <w:name w:val="cargo"/>
    <w:basedOn w:val="Normal"/>
    <w:rsid w:val="001154BE"/>
    <w:pPr>
      <w:spacing w:before="100" w:beforeAutospacing="1" w:after="100" w:afterAutospacing="1"/>
    </w:pPr>
    <w:rPr>
      <w:rFonts w:ascii="Times New Roman" w:hAnsi="Times New Roman" w:cs="Times New Roman"/>
      <w:sz w:val="24"/>
      <w:szCs w:val="24"/>
    </w:rPr>
  </w:style>
  <w:style w:type="paragraph" w:customStyle="1" w:styleId="nota">
    <w:name w:val="nota"/>
    <w:basedOn w:val="Normal"/>
    <w:rsid w:val="001154BE"/>
    <w:pPr>
      <w:spacing w:before="100" w:beforeAutospacing="1" w:after="100" w:afterAutospacing="1"/>
    </w:pPr>
    <w:rPr>
      <w:rFonts w:ascii="Times New Roman" w:hAnsi="Times New Roman" w:cs="Times New Roman"/>
      <w:sz w:val="24"/>
      <w:szCs w:val="24"/>
    </w:rPr>
  </w:style>
  <w:style w:type="paragraph" w:customStyle="1" w:styleId="assinapr">
    <w:name w:val="assinapr"/>
    <w:basedOn w:val="Normal"/>
    <w:rsid w:val="009250BA"/>
    <w:pPr>
      <w:spacing w:before="100" w:beforeAutospacing="1" w:after="100" w:afterAutospacing="1"/>
    </w:pPr>
    <w:rPr>
      <w:rFonts w:ascii="Times New Roman" w:hAnsi="Times New Roman" w:cs="Times New Roman"/>
      <w:sz w:val="24"/>
      <w:szCs w:val="24"/>
    </w:rPr>
  </w:style>
  <w:style w:type="character" w:styleId="Hyperlink">
    <w:name w:val="Hyperlink"/>
    <w:basedOn w:val="Fontepargpadro"/>
    <w:uiPriority w:val="99"/>
    <w:unhideWhenUsed/>
    <w:rsid w:val="005A15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65292">
      <w:bodyDiv w:val="1"/>
      <w:marLeft w:val="0"/>
      <w:marRight w:val="0"/>
      <w:marTop w:val="0"/>
      <w:marBottom w:val="0"/>
      <w:divBdr>
        <w:top w:val="none" w:sz="0" w:space="0" w:color="auto"/>
        <w:left w:val="none" w:sz="0" w:space="0" w:color="auto"/>
        <w:bottom w:val="none" w:sz="0" w:space="0" w:color="auto"/>
        <w:right w:val="none" w:sz="0" w:space="0" w:color="auto"/>
      </w:divBdr>
    </w:div>
    <w:div w:id="155146972">
      <w:bodyDiv w:val="1"/>
      <w:marLeft w:val="0"/>
      <w:marRight w:val="0"/>
      <w:marTop w:val="0"/>
      <w:marBottom w:val="0"/>
      <w:divBdr>
        <w:top w:val="none" w:sz="0" w:space="0" w:color="auto"/>
        <w:left w:val="none" w:sz="0" w:space="0" w:color="auto"/>
        <w:bottom w:val="none" w:sz="0" w:space="0" w:color="auto"/>
        <w:right w:val="none" w:sz="0" w:space="0" w:color="auto"/>
      </w:divBdr>
    </w:div>
    <w:div w:id="156071109">
      <w:bodyDiv w:val="1"/>
      <w:marLeft w:val="0"/>
      <w:marRight w:val="0"/>
      <w:marTop w:val="0"/>
      <w:marBottom w:val="0"/>
      <w:divBdr>
        <w:top w:val="none" w:sz="0" w:space="0" w:color="auto"/>
        <w:left w:val="none" w:sz="0" w:space="0" w:color="auto"/>
        <w:bottom w:val="none" w:sz="0" w:space="0" w:color="auto"/>
        <w:right w:val="none" w:sz="0" w:space="0" w:color="auto"/>
      </w:divBdr>
    </w:div>
    <w:div w:id="159196258">
      <w:bodyDiv w:val="1"/>
      <w:marLeft w:val="0"/>
      <w:marRight w:val="0"/>
      <w:marTop w:val="0"/>
      <w:marBottom w:val="0"/>
      <w:divBdr>
        <w:top w:val="none" w:sz="0" w:space="0" w:color="auto"/>
        <w:left w:val="none" w:sz="0" w:space="0" w:color="auto"/>
        <w:bottom w:val="none" w:sz="0" w:space="0" w:color="auto"/>
        <w:right w:val="none" w:sz="0" w:space="0" w:color="auto"/>
      </w:divBdr>
    </w:div>
    <w:div w:id="180317135">
      <w:bodyDiv w:val="1"/>
      <w:marLeft w:val="0"/>
      <w:marRight w:val="0"/>
      <w:marTop w:val="0"/>
      <w:marBottom w:val="0"/>
      <w:divBdr>
        <w:top w:val="none" w:sz="0" w:space="0" w:color="auto"/>
        <w:left w:val="none" w:sz="0" w:space="0" w:color="auto"/>
        <w:bottom w:val="none" w:sz="0" w:space="0" w:color="auto"/>
        <w:right w:val="none" w:sz="0" w:space="0" w:color="auto"/>
      </w:divBdr>
    </w:div>
    <w:div w:id="191304721">
      <w:bodyDiv w:val="1"/>
      <w:marLeft w:val="0"/>
      <w:marRight w:val="0"/>
      <w:marTop w:val="0"/>
      <w:marBottom w:val="0"/>
      <w:divBdr>
        <w:top w:val="none" w:sz="0" w:space="0" w:color="auto"/>
        <w:left w:val="none" w:sz="0" w:space="0" w:color="auto"/>
        <w:bottom w:val="none" w:sz="0" w:space="0" w:color="auto"/>
        <w:right w:val="none" w:sz="0" w:space="0" w:color="auto"/>
      </w:divBdr>
    </w:div>
    <w:div w:id="219827411">
      <w:bodyDiv w:val="1"/>
      <w:marLeft w:val="0"/>
      <w:marRight w:val="0"/>
      <w:marTop w:val="0"/>
      <w:marBottom w:val="0"/>
      <w:divBdr>
        <w:top w:val="none" w:sz="0" w:space="0" w:color="auto"/>
        <w:left w:val="none" w:sz="0" w:space="0" w:color="auto"/>
        <w:bottom w:val="none" w:sz="0" w:space="0" w:color="auto"/>
        <w:right w:val="none" w:sz="0" w:space="0" w:color="auto"/>
      </w:divBdr>
    </w:div>
    <w:div w:id="233468653">
      <w:bodyDiv w:val="1"/>
      <w:marLeft w:val="0"/>
      <w:marRight w:val="0"/>
      <w:marTop w:val="0"/>
      <w:marBottom w:val="0"/>
      <w:divBdr>
        <w:top w:val="none" w:sz="0" w:space="0" w:color="auto"/>
        <w:left w:val="none" w:sz="0" w:space="0" w:color="auto"/>
        <w:bottom w:val="none" w:sz="0" w:space="0" w:color="auto"/>
        <w:right w:val="none" w:sz="0" w:space="0" w:color="auto"/>
      </w:divBdr>
    </w:div>
    <w:div w:id="299505529">
      <w:bodyDiv w:val="1"/>
      <w:marLeft w:val="0"/>
      <w:marRight w:val="0"/>
      <w:marTop w:val="0"/>
      <w:marBottom w:val="0"/>
      <w:divBdr>
        <w:top w:val="none" w:sz="0" w:space="0" w:color="auto"/>
        <w:left w:val="none" w:sz="0" w:space="0" w:color="auto"/>
        <w:bottom w:val="none" w:sz="0" w:space="0" w:color="auto"/>
        <w:right w:val="none" w:sz="0" w:space="0" w:color="auto"/>
      </w:divBdr>
    </w:div>
    <w:div w:id="321156037">
      <w:bodyDiv w:val="1"/>
      <w:marLeft w:val="0"/>
      <w:marRight w:val="0"/>
      <w:marTop w:val="0"/>
      <w:marBottom w:val="0"/>
      <w:divBdr>
        <w:top w:val="none" w:sz="0" w:space="0" w:color="auto"/>
        <w:left w:val="none" w:sz="0" w:space="0" w:color="auto"/>
        <w:bottom w:val="none" w:sz="0" w:space="0" w:color="auto"/>
        <w:right w:val="none" w:sz="0" w:space="0" w:color="auto"/>
      </w:divBdr>
    </w:div>
    <w:div w:id="345904477">
      <w:bodyDiv w:val="1"/>
      <w:marLeft w:val="0"/>
      <w:marRight w:val="0"/>
      <w:marTop w:val="0"/>
      <w:marBottom w:val="0"/>
      <w:divBdr>
        <w:top w:val="none" w:sz="0" w:space="0" w:color="auto"/>
        <w:left w:val="none" w:sz="0" w:space="0" w:color="auto"/>
        <w:bottom w:val="none" w:sz="0" w:space="0" w:color="auto"/>
        <w:right w:val="none" w:sz="0" w:space="0" w:color="auto"/>
      </w:divBdr>
    </w:div>
    <w:div w:id="358505075">
      <w:bodyDiv w:val="1"/>
      <w:marLeft w:val="0"/>
      <w:marRight w:val="0"/>
      <w:marTop w:val="0"/>
      <w:marBottom w:val="0"/>
      <w:divBdr>
        <w:top w:val="none" w:sz="0" w:space="0" w:color="auto"/>
        <w:left w:val="none" w:sz="0" w:space="0" w:color="auto"/>
        <w:bottom w:val="none" w:sz="0" w:space="0" w:color="auto"/>
        <w:right w:val="none" w:sz="0" w:space="0" w:color="auto"/>
      </w:divBdr>
    </w:div>
    <w:div w:id="376051274">
      <w:bodyDiv w:val="1"/>
      <w:marLeft w:val="0"/>
      <w:marRight w:val="0"/>
      <w:marTop w:val="0"/>
      <w:marBottom w:val="0"/>
      <w:divBdr>
        <w:top w:val="none" w:sz="0" w:space="0" w:color="auto"/>
        <w:left w:val="none" w:sz="0" w:space="0" w:color="auto"/>
        <w:bottom w:val="none" w:sz="0" w:space="0" w:color="auto"/>
        <w:right w:val="none" w:sz="0" w:space="0" w:color="auto"/>
      </w:divBdr>
    </w:div>
    <w:div w:id="415368364">
      <w:bodyDiv w:val="1"/>
      <w:marLeft w:val="0"/>
      <w:marRight w:val="0"/>
      <w:marTop w:val="0"/>
      <w:marBottom w:val="0"/>
      <w:divBdr>
        <w:top w:val="none" w:sz="0" w:space="0" w:color="auto"/>
        <w:left w:val="none" w:sz="0" w:space="0" w:color="auto"/>
        <w:bottom w:val="none" w:sz="0" w:space="0" w:color="auto"/>
        <w:right w:val="none" w:sz="0" w:space="0" w:color="auto"/>
      </w:divBdr>
    </w:div>
    <w:div w:id="446507767">
      <w:bodyDiv w:val="1"/>
      <w:marLeft w:val="0"/>
      <w:marRight w:val="0"/>
      <w:marTop w:val="0"/>
      <w:marBottom w:val="0"/>
      <w:divBdr>
        <w:top w:val="none" w:sz="0" w:space="0" w:color="auto"/>
        <w:left w:val="none" w:sz="0" w:space="0" w:color="auto"/>
        <w:bottom w:val="none" w:sz="0" w:space="0" w:color="auto"/>
        <w:right w:val="none" w:sz="0" w:space="0" w:color="auto"/>
      </w:divBdr>
    </w:div>
    <w:div w:id="451828854">
      <w:bodyDiv w:val="1"/>
      <w:marLeft w:val="0"/>
      <w:marRight w:val="0"/>
      <w:marTop w:val="0"/>
      <w:marBottom w:val="0"/>
      <w:divBdr>
        <w:top w:val="none" w:sz="0" w:space="0" w:color="auto"/>
        <w:left w:val="none" w:sz="0" w:space="0" w:color="auto"/>
        <w:bottom w:val="none" w:sz="0" w:space="0" w:color="auto"/>
        <w:right w:val="none" w:sz="0" w:space="0" w:color="auto"/>
      </w:divBdr>
    </w:div>
    <w:div w:id="502209464">
      <w:bodyDiv w:val="1"/>
      <w:marLeft w:val="0"/>
      <w:marRight w:val="0"/>
      <w:marTop w:val="0"/>
      <w:marBottom w:val="0"/>
      <w:divBdr>
        <w:top w:val="none" w:sz="0" w:space="0" w:color="auto"/>
        <w:left w:val="none" w:sz="0" w:space="0" w:color="auto"/>
        <w:bottom w:val="none" w:sz="0" w:space="0" w:color="auto"/>
        <w:right w:val="none" w:sz="0" w:space="0" w:color="auto"/>
      </w:divBdr>
    </w:div>
    <w:div w:id="555287535">
      <w:bodyDiv w:val="1"/>
      <w:marLeft w:val="0"/>
      <w:marRight w:val="0"/>
      <w:marTop w:val="0"/>
      <w:marBottom w:val="0"/>
      <w:divBdr>
        <w:top w:val="none" w:sz="0" w:space="0" w:color="auto"/>
        <w:left w:val="none" w:sz="0" w:space="0" w:color="auto"/>
        <w:bottom w:val="none" w:sz="0" w:space="0" w:color="auto"/>
        <w:right w:val="none" w:sz="0" w:space="0" w:color="auto"/>
      </w:divBdr>
    </w:div>
    <w:div w:id="560672478">
      <w:bodyDiv w:val="1"/>
      <w:marLeft w:val="0"/>
      <w:marRight w:val="0"/>
      <w:marTop w:val="0"/>
      <w:marBottom w:val="0"/>
      <w:divBdr>
        <w:top w:val="none" w:sz="0" w:space="0" w:color="auto"/>
        <w:left w:val="none" w:sz="0" w:space="0" w:color="auto"/>
        <w:bottom w:val="none" w:sz="0" w:space="0" w:color="auto"/>
        <w:right w:val="none" w:sz="0" w:space="0" w:color="auto"/>
      </w:divBdr>
    </w:div>
    <w:div w:id="611716833">
      <w:bodyDiv w:val="1"/>
      <w:marLeft w:val="0"/>
      <w:marRight w:val="0"/>
      <w:marTop w:val="0"/>
      <w:marBottom w:val="0"/>
      <w:divBdr>
        <w:top w:val="none" w:sz="0" w:space="0" w:color="auto"/>
        <w:left w:val="none" w:sz="0" w:space="0" w:color="auto"/>
        <w:bottom w:val="none" w:sz="0" w:space="0" w:color="auto"/>
        <w:right w:val="none" w:sz="0" w:space="0" w:color="auto"/>
      </w:divBdr>
    </w:div>
    <w:div w:id="628515666">
      <w:bodyDiv w:val="1"/>
      <w:marLeft w:val="0"/>
      <w:marRight w:val="0"/>
      <w:marTop w:val="0"/>
      <w:marBottom w:val="0"/>
      <w:divBdr>
        <w:top w:val="none" w:sz="0" w:space="0" w:color="auto"/>
        <w:left w:val="none" w:sz="0" w:space="0" w:color="auto"/>
        <w:bottom w:val="none" w:sz="0" w:space="0" w:color="auto"/>
        <w:right w:val="none" w:sz="0" w:space="0" w:color="auto"/>
      </w:divBdr>
    </w:div>
    <w:div w:id="629440125">
      <w:bodyDiv w:val="1"/>
      <w:marLeft w:val="0"/>
      <w:marRight w:val="0"/>
      <w:marTop w:val="0"/>
      <w:marBottom w:val="0"/>
      <w:divBdr>
        <w:top w:val="none" w:sz="0" w:space="0" w:color="auto"/>
        <w:left w:val="none" w:sz="0" w:space="0" w:color="auto"/>
        <w:bottom w:val="none" w:sz="0" w:space="0" w:color="auto"/>
        <w:right w:val="none" w:sz="0" w:space="0" w:color="auto"/>
      </w:divBdr>
    </w:div>
    <w:div w:id="744113905">
      <w:bodyDiv w:val="1"/>
      <w:marLeft w:val="0"/>
      <w:marRight w:val="0"/>
      <w:marTop w:val="0"/>
      <w:marBottom w:val="0"/>
      <w:divBdr>
        <w:top w:val="none" w:sz="0" w:space="0" w:color="auto"/>
        <w:left w:val="none" w:sz="0" w:space="0" w:color="auto"/>
        <w:bottom w:val="none" w:sz="0" w:space="0" w:color="auto"/>
        <w:right w:val="none" w:sz="0" w:space="0" w:color="auto"/>
      </w:divBdr>
    </w:div>
    <w:div w:id="781221346">
      <w:bodyDiv w:val="1"/>
      <w:marLeft w:val="0"/>
      <w:marRight w:val="0"/>
      <w:marTop w:val="0"/>
      <w:marBottom w:val="0"/>
      <w:divBdr>
        <w:top w:val="none" w:sz="0" w:space="0" w:color="auto"/>
        <w:left w:val="none" w:sz="0" w:space="0" w:color="auto"/>
        <w:bottom w:val="none" w:sz="0" w:space="0" w:color="auto"/>
        <w:right w:val="none" w:sz="0" w:space="0" w:color="auto"/>
      </w:divBdr>
    </w:div>
    <w:div w:id="799108996">
      <w:bodyDiv w:val="1"/>
      <w:marLeft w:val="0"/>
      <w:marRight w:val="0"/>
      <w:marTop w:val="0"/>
      <w:marBottom w:val="0"/>
      <w:divBdr>
        <w:top w:val="none" w:sz="0" w:space="0" w:color="auto"/>
        <w:left w:val="none" w:sz="0" w:space="0" w:color="auto"/>
        <w:bottom w:val="none" w:sz="0" w:space="0" w:color="auto"/>
        <w:right w:val="none" w:sz="0" w:space="0" w:color="auto"/>
      </w:divBdr>
    </w:div>
    <w:div w:id="801535555">
      <w:bodyDiv w:val="1"/>
      <w:marLeft w:val="0"/>
      <w:marRight w:val="0"/>
      <w:marTop w:val="0"/>
      <w:marBottom w:val="0"/>
      <w:divBdr>
        <w:top w:val="none" w:sz="0" w:space="0" w:color="auto"/>
        <w:left w:val="none" w:sz="0" w:space="0" w:color="auto"/>
        <w:bottom w:val="none" w:sz="0" w:space="0" w:color="auto"/>
        <w:right w:val="none" w:sz="0" w:space="0" w:color="auto"/>
      </w:divBdr>
    </w:div>
    <w:div w:id="869957010">
      <w:bodyDiv w:val="1"/>
      <w:marLeft w:val="0"/>
      <w:marRight w:val="0"/>
      <w:marTop w:val="0"/>
      <w:marBottom w:val="0"/>
      <w:divBdr>
        <w:top w:val="none" w:sz="0" w:space="0" w:color="auto"/>
        <w:left w:val="none" w:sz="0" w:space="0" w:color="auto"/>
        <w:bottom w:val="none" w:sz="0" w:space="0" w:color="auto"/>
        <w:right w:val="none" w:sz="0" w:space="0" w:color="auto"/>
      </w:divBdr>
    </w:div>
    <w:div w:id="872499815">
      <w:bodyDiv w:val="1"/>
      <w:marLeft w:val="0"/>
      <w:marRight w:val="0"/>
      <w:marTop w:val="0"/>
      <w:marBottom w:val="0"/>
      <w:divBdr>
        <w:top w:val="none" w:sz="0" w:space="0" w:color="auto"/>
        <w:left w:val="none" w:sz="0" w:space="0" w:color="auto"/>
        <w:bottom w:val="none" w:sz="0" w:space="0" w:color="auto"/>
        <w:right w:val="none" w:sz="0" w:space="0" w:color="auto"/>
      </w:divBdr>
    </w:div>
    <w:div w:id="928928999">
      <w:bodyDiv w:val="1"/>
      <w:marLeft w:val="0"/>
      <w:marRight w:val="0"/>
      <w:marTop w:val="0"/>
      <w:marBottom w:val="0"/>
      <w:divBdr>
        <w:top w:val="none" w:sz="0" w:space="0" w:color="auto"/>
        <w:left w:val="none" w:sz="0" w:space="0" w:color="auto"/>
        <w:bottom w:val="none" w:sz="0" w:space="0" w:color="auto"/>
        <w:right w:val="none" w:sz="0" w:space="0" w:color="auto"/>
      </w:divBdr>
    </w:div>
    <w:div w:id="973564517">
      <w:bodyDiv w:val="1"/>
      <w:marLeft w:val="0"/>
      <w:marRight w:val="0"/>
      <w:marTop w:val="0"/>
      <w:marBottom w:val="0"/>
      <w:divBdr>
        <w:top w:val="none" w:sz="0" w:space="0" w:color="auto"/>
        <w:left w:val="none" w:sz="0" w:space="0" w:color="auto"/>
        <w:bottom w:val="none" w:sz="0" w:space="0" w:color="auto"/>
        <w:right w:val="none" w:sz="0" w:space="0" w:color="auto"/>
      </w:divBdr>
    </w:div>
    <w:div w:id="1059134613">
      <w:bodyDiv w:val="1"/>
      <w:marLeft w:val="0"/>
      <w:marRight w:val="0"/>
      <w:marTop w:val="0"/>
      <w:marBottom w:val="0"/>
      <w:divBdr>
        <w:top w:val="none" w:sz="0" w:space="0" w:color="auto"/>
        <w:left w:val="none" w:sz="0" w:space="0" w:color="auto"/>
        <w:bottom w:val="none" w:sz="0" w:space="0" w:color="auto"/>
        <w:right w:val="none" w:sz="0" w:space="0" w:color="auto"/>
      </w:divBdr>
    </w:div>
    <w:div w:id="1059936684">
      <w:bodyDiv w:val="1"/>
      <w:marLeft w:val="0"/>
      <w:marRight w:val="0"/>
      <w:marTop w:val="0"/>
      <w:marBottom w:val="0"/>
      <w:divBdr>
        <w:top w:val="none" w:sz="0" w:space="0" w:color="auto"/>
        <w:left w:val="none" w:sz="0" w:space="0" w:color="auto"/>
        <w:bottom w:val="none" w:sz="0" w:space="0" w:color="auto"/>
        <w:right w:val="none" w:sz="0" w:space="0" w:color="auto"/>
      </w:divBdr>
    </w:div>
    <w:div w:id="1079064508">
      <w:bodyDiv w:val="1"/>
      <w:marLeft w:val="0"/>
      <w:marRight w:val="0"/>
      <w:marTop w:val="0"/>
      <w:marBottom w:val="0"/>
      <w:divBdr>
        <w:top w:val="none" w:sz="0" w:space="0" w:color="auto"/>
        <w:left w:val="none" w:sz="0" w:space="0" w:color="auto"/>
        <w:bottom w:val="none" w:sz="0" w:space="0" w:color="auto"/>
        <w:right w:val="none" w:sz="0" w:space="0" w:color="auto"/>
      </w:divBdr>
    </w:div>
    <w:div w:id="1168792662">
      <w:bodyDiv w:val="1"/>
      <w:marLeft w:val="0"/>
      <w:marRight w:val="0"/>
      <w:marTop w:val="0"/>
      <w:marBottom w:val="0"/>
      <w:divBdr>
        <w:top w:val="none" w:sz="0" w:space="0" w:color="auto"/>
        <w:left w:val="none" w:sz="0" w:space="0" w:color="auto"/>
        <w:bottom w:val="none" w:sz="0" w:space="0" w:color="auto"/>
        <w:right w:val="none" w:sz="0" w:space="0" w:color="auto"/>
      </w:divBdr>
    </w:div>
    <w:div w:id="1181119801">
      <w:bodyDiv w:val="1"/>
      <w:marLeft w:val="0"/>
      <w:marRight w:val="0"/>
      <w:marTop w:val="0"/>
      <w:marBottom w:val="0"/>
      <w:divBdr>
        <w:top w:val="none" w:sz="0" w:space="0" w:color="auto"/>
        <w:left w:val="none" w:sz="0" w:space="0" w:color="auto"/>
        <w:bottom w:val="none" w:sz="0" w:space="0" w:color="auto"/>
        <w:right w:val="none" w:sz="0" w:space="0" w:color="auto"/>
      </w:divBdr>
    </w:div>
    <w:div w:id="1188789078">
      <w:bodyDiv w:val="1"/>
      <w:marLeft w:val="0"/>
      <w:marRight w:val="0"/>
      <w:marTop w:val="0"/>
      <w:marBottom w:val="0"/>
      <w:divBdr>
        <w:top w:val="none" w:sz="0" w:space="0" w:color="auto"/>
        <w:left w:val="none" w:sz="0" w:space="0" w:color="auto"/>
        <w:bottom w:val="none" w:sz="0" w:space="0" w:color="auto"/>
        <w:right w:val="none" w:sz="0" w:space="0" w:color="auto"/>
      </w:divBdr>
    </w:div>
    <w:div w:id="1218904700">
      <w:bodyDiv w:val="1"/>
      <w:marLeft w:val="0"/>
      <w:marRight w:val="0"/>
      <w:marTop w:val="0"/>
      <w:marBottom w:val="0"/>
      <w:divBdr>
        <w:top w:val="none" w:sz="0" w:space="0" w:color="auto"/>
        <w:left w:val="none" w:sz="0" w:space="0" w:color="auto"/>
        <w:bottom w:val="none" w:sz="0" w:space="0" w:color="auto"/>
        <w:right w:val="none" w:sz="0" w:space="0" w:color="auto"/>
      </w:divBdr>
    </w:div>
    <w:div w:id="1264801265">
      <w:bodyDiv w:val="1"/>
      <w:marLeft w:val="0"/>
      <w:marRight w:val="0"/>
      <w:marTop w:val="0"/>
      <w:marBottom w:val="0"/>
      <w:divBdr>
        <w:top w:val="none" w:sz="0" w:space="0" w:color="auto"/>
        <w:left w:val="none" w:sz="0" w:space="0" w:color="auto"/>
        <w:bottom w:val="none" w:sz="0" w:space="0" w:color="auto"/>
        <w:right w:val="none" w:sz="0" w:space="0" w:color="auto"/>
      </w:divBdr>
    </w:div>
    <w:div w:id="1289552079">
      <w:bodyDiv w:val="1"/>
      <w:marLeft w:val="0"/>
      <w:marRight w:val="0"/>
      <w:marTop w:val="0"/>
      <w:marBottom w:val="0"/>
      <w:divBdr>
        <w:top w:val="none" w:sz="0" w:space="0" w:color="auto"/>
        <w:left w:val="none" w:sz="0" w:space="0" w:color="auto"/>
        <w:bottom w:val="none" w:sz="0" w:space="0" w:color="auto"/>
        <w:right w:val="none" w:sz="0" w:space="0" w:color="auto"/>
      </w:divBdr>
    </w:div>
    <w:div w:id="1297687850">
      <w:bodyDiv w:val="1"/>
      <w:marLeft w:val="0"/>
      <w:marRight w:val="0"/>
      <w:marTop w:val="0"/>
      <w:marBottom w:val="0"/>
      <w:divBdr>
        <w:top w:val="none" w:sz="0" w:space="0" w:color="auto"/>
        <w:left w:val="none" w:sz="0" w:space="0" w:color="auto"/>
        <w:bottom w:val="none" w:sz="0" w:space="0" w:color="auto"/>
        <w:right w:val="none" w:sz="0" w:space="0" w:color="auto"/>
      </w:divBdr>
    </w:div>
    <w:div w:id="1315640306">
      <w:bodyDiv w:val="1"/>
      <w:marLeft w:val="0"/>
      <w:marRight w:val="0"/>
      <w:marTop w:val="0"/>
      <w:marBottom w:val="0"/>
      <w:divBdr>
        <w:top w:val="none" w:sz="0" w:space="0" w:color="auto"/>
        <w:left w:val="none" w:sz="0" w:space="0" w:color="auto"/>
        <w:bottom w:val="none" w:sz="0" w:space="0" w:color="auto"/>
        <w:right w:val="none" w:sz="0" w:space="0" w:color="auto"/>
      </w:divBdr>
    </w:div>
    <w:div w:id="1322196390">
      <w:bodyDiv w:val="1"/>
      <w:marLeft w:val="0"/>
      <w:marRight w:val="0"/>
      <w:marTop w:val="0"/>
      <w:marBottom w:val="0"/>
      <w:divBdr>
        <w:top w:val="none" w:sz="0" w:space="0" w:color="auto"/>
        <w:left w:val="none" w:sz="0" w:space="0" w:color="auto"/>
        <w:bottom w:val="none" w:sz="0" w:space="0" w:color="auto"/>
        <w:right w:val="none" w:sz="0" w:space="0" w:color="auto"/>
      </w:divBdr>
    </w:div>
    <w:div w:id="1336687974">
      <w:bodyDiv w:val="1"/>
      <w:marLeft w:val="0"/>
      <w:marRight w:val="0"/>
      <w:marTop w:val="0"/>
      <w:marBottom w:val="0"/>
      <w:divBdr>
        <w:top w:val="none" w:sz="0" w:space="0" w:color="auto"/>
        <w:left w:val="none" w:sz="0" w:space="0" w:color="auto"/>
        <w:bottom w:val="none" w:sz="0" w:space="0" w:color="auto"/>
        <w:right w:val="none" w:sz="0" w:space="0" w:color="auto"/>
      </w:divBdr>
    </w:div>
    <w:div w:id="1361205849">
      <w:bodyDiv w:val="1"/>
      <w:marLeft w:val="0"/>
      <w:marRight w:val="0"/>
      <w:marTop w:val="0"/>
      <w:marBottom w:val="0"/>
      <w:divBdr>
        <w:top w:val="none" w:sz="0" w:space="0" w:color="auto"/>
        <w:left w:val="none" w:sz="0" w:space="0" w:color="auto"/>
        <w:bottom w:val="none" w:sz="0" w:space="0" w:color="auto"/>
        <w:right w:val="none" w:sz="0" w:space="0" w:color="auto"/>
      </w:divBdr>
    </w:div>
    <w:div w:id="1378162637">
      <w:bodyDiv w:val="1"/>
      <w:marLeft w:val="0"/>
      <w:marRight w:val="0"/>
      <w:marTop w:val="0"/>
      <w:marBottom w:val="0"/>
      <w:divBdr>
        <w:top w:val="none" w:sz="0" w:space="0" w:color="auto"/>
        <w:left w:val="none" w:sz="0" w:space="0" w:color="auto"/>
        <w:bottom w:val="none" w:sz="0" w:space="0" w:color="auto"/>
        <w:right w:val="none" w:sz="0" w:space="0" w:color="auto"/>
      </w:divBdr>
    </w:div>
    <w:div w:id="1409812971">
      <w:bodyDiv w:val="1"/>
      <w:marLeft w:val="0"/>
      <w:marRight w:val="0"/>
      <w:marTop w:val="0"/>
      <w:marBottom w:val="0"/>
      <w:divBdr>
        <w:top w:val="none" w:sz="0" w:space="0" w:color="auto"/>
        <w:left w:val="none" w:sz="0" w:space="0" w:color="auto"/>
        <w:bottom w:val="none" w:sz="0" w:space="0" w:color="auto"/>
        <w:right w:val="none" w:sz="0" w:space="0" w:color="auto"/>
      </w:divBdr>
    </w:div>
    <w:div w:id="1480881498">
      <w:bodyDiv w:val="1"/>
      <w:marLeft w:val="0"/>
      <w:marRight w:val="0"/>
      <w:marTop w:val="0"/>
      <w:marBottom w:val="0"/>
      <w:divBdr>
        <w:top w:val="none" w:sz="0" w:space="0" w:color="auto"/>
        <w:left w:val="none" w:sz="0" w:space="0" w:color="auto"/>
        <w:bottom w:val="none" w:sz="0" w:space="0" w:color="auto"/>
        <w:right w:val="none" w:sz="0" w:space="0" w:color="auto"/>
      </w:divBdr>
    </w:div>
    <w:div w:id="1497768463">
      <w:bodyDiv w:val="1"/>
      <w:marLeft w:val="0"/>
      <w:marRight w:val="0"/>
      <w:marTop w:val="0"/>
      <w:marBottom w:val="0"/>
      <w:divBdr>
        <w:top w:val="none" w:sz="0" w:space="0" w:color="auto"/>
        <w:left w:val="none" w:sz="0" w:space="0" w:color="auto"/>
        <w:bottom w:val="none" w:sz="0" w:space="0" w:color="auto"/>
        <w:right w:val="none" w:sz="0" w:space="0" w:color="auto"/>
      </w:divBdr>
    </w:div>
    <w:div w:id="1519153068">
      <w:bodyDiv w:val="1"/>
      <w:marLeft w:val="0"/>
      <w:marRight w:val="0"/>
      <w:marTop w:val="0"/>
      <w:marBottom w:val="0"/>
      <w:divBdr>
        <w:top w:val="none" w:sz="0" w:space="0" w:color="auto"/>
        <w:left w:val="none" w:sz="0" w:space="0" w:color="auto"/>
        <w:bottom w:val="none" w:sz="0" w:space="0" w:color="auto"/>
        <w:right w:val="none" w:sz="0" w:space="0" w:color="auto"/>
      </w:divBdr>
    </w:div>
    <w:div w:id="1573393613">
      <w:bodyDiv w:val="1"/>
      <w:marLeft w:val="0"/>
      <w:marRight w:val="0"/>
      <w:marTop w:val="0"/>
      <w:marBottom w:val="0"/>
      <w:divBdr>
        <w:top w:val="none" w:sz="0" w:space="0" w:color="auto"/>
        <w:left w:val="none" w:sz="0" w:space="0" w:color="auto"/>
        <w:bottom w:val="none" w:sz="0" w:space="0" w:color="auto"/>
        <w:right w:val="none" w:sz="0" w:space="0" w:color="auto"/>
      </w:divBdr>
    </w:div>
    <w:div w:id="1588926022">
      <w:bodyDiv w:val="1"/>
      <w:marLeft w:val="0"/>
      <w:marRight w:val="0"/>
      <w:marTop w:val="0"/>
      <w:marBottom w:val="0"/>
      <w:divBdr>
        <w:top w:val="none" w:sz="0" w:space="0" w:color="auto"/>
        <w:left w:val="none" w:sz="0" w:space="0" w:color="auto"/>
        <w:bottom w:val="none" w:sz="0" w:space="0" w:color="auto"/>
        <w:right w:val="none" w:sz="0" w:space="0" w:color="auto"/>
      </w:divBdr>
    </w:div>
    <w:div w:id="1611282124">
      <w:bodyDiv w:val="1"/>
      <w:marLeft w:val="0"/>
      <w:marRight w:val="0"/>
      <w:marTop w:val="0"/>
      <w:marBottom w:val="0"/>
      <w:divBdr>
        <w:top w:val="none" w:sz="0" w:space="0" w:color="auto"/>
        <w:left w:val="none" w:sz="0" w:space="0" w:color="auto"/>
        <w:bottom w:val="none" w:sz="0" w:space="0" w:color="auto"/>
        <w:right w:val="none" w:sz="0" w:space="0" w:color="auto"/>
      </w:divBdr>
    </w:div>
    <w:div w:id="1658339757">
      <w:bodyDiv w:val="1"/>
      <w:marLeft w:val="0"/>
      <w:marRight w:val="0"/>
      <w:marTop w:val="0"/>
      <w:marBottom w:val="0"/>
      <w:divBdr>
        <w:top w:val="none" w:sz="0" w:space="0" w:color="auto"/>
        <w:left w:val="none" w:sz="0" w:space="0" w:color="auto"/>
        <w:bottom w:val="none" w:sz="0" w:space="0" w:color="auto"/>
        <w:right w:val="none" w:sz="0" w:space="0" w:color="auto"/>
      </w:divBdr>
    </w:div>
    <w:div w:id="1662079532">
      <w:bodyDiv w:val="1"/>
      <w:marLeft w:val="0"/>
      <w:marRight w:val="0"/>
      <w:marTop w:val="0"/>
      <w:marBottom w:val="0"/>
      <w:divBdr>
        <w:top w:val="none" w:sz="0" w:space="0" w:color="auto"/>
        <w:left w:val="none" w:sz="0" w:space="0" w:color="auto"/>
        <w:bottom w:val="none" w:sz="0" w:space="0" w:color="auto"/>
        <w:right w:val="none" w:sz="0" w:space="0" w:color="auto"/>
      </w:divBdr>
    </w:div>
    <w:div w:id="1808090142">
      <w:bodyDiv w:val="1"/>
      <w:marLeft w:val="0"/>
      <w:marRight w:val="0"/>
      <w:marTop w:val="0"/>
      <w:marBottom w:val="0"/>
      <w:divBdr>
        <w:top w:val="none" w:sz="0" w:space="0" w:color="auto"/>
        <w:left w:val="none" w:sz="0" w:space="0" w:color="auto"/>
        <w:bottom w:val="none" w:sz="0" w:space="0" w:color="auto"/>
        <w:right w:val="none" w:sz="0" w:space="0" w:color="auto"/>
      </w:divBdr>
    </w:div>
    <w:div w:id="1812670289">
      <w:bodyDiv w:val="1"/>
      <w:marLeft w:val="0"/>
      <w:marRight w:val="0"/>
      <w:marTop w:val="0"/>
      <w:marBottom w:val="0"/>
      <w:divBdr>
        <w:top w:val="none" w:sz="0" w:space="0" w:color="auto"/>
        <w:left w:val="none" w:sz="0" w:space="0" w:color="auto"/>
        <w:bottom w:val="none" w:sz="0" w:space="0" w:color="auto"/>
        <w:right w:val="none" w:sz="0" w:space="0" w:color="auto"/>
      </w:divBdr>
    </w:div>
    <w:div w:id="1818913550">
      <w:bodyDiv w:val="1"/>
      <w:marLeft w:val="0"/>
      <w:marRight w:val="0"/>
      <w:marTop w:val="0"/>
      <w:marBottom w:val="0"/>
      <w:divBdr>
        <w:top w:val="none" w:sz="0" w:space="0" w:color="auto"/>
        <w:left w:val="none" w:sz="0" w:space="0" w:color="auto"/>
        <w:bottom w:val="none" w:sz="0" w:space="0" w:color="auto"/>
        <w:right w:val="none" w:sz="0" w:space="0" w:color="auto"/>
      </w:divBdr>
    </w:div>
    <w:div w:id="1870334371">
      <w:bodyDiv w:val="1"/>
      <w:marLeft w:val="0"/>
      <w:marRight w:val="0"/>
      <w:marTop w:val="0"/>
      <w:marBottom w:val="0"/>
      <w:divBdr>
        <w:top w:val="none" w:sz="0" w:space="0" w:color="auto"/>
        <w:left w:val="none" w:sz="0" w:space="0" w:color="auto"/>
        <w:bottom w:val="none" w:sz="0" w:space="0" w:color="auto"/>
        <w:right w:val="none" w:sz="0" w:space="0" w:color="auto"/>
      </w:divBdr>
    </w:div>
    <w:div w:id="1956014055">
      <w:bodyDiv w:val="1"/>
      <w:marLeft w:val="0"/>
      <w:marRight w:val="0"/>
      <w:marTop w:val="0"/>
      <w:marBottom w:val="0"/>
      <w:divBdr>
        <w:top w:val="none" w:sz="0" w:space="0" w:color="auto"/>
        <w:left w:val="none" w:sz="0" w:space="0" w:color="auto"/>
        <w:bottom w:val="none" w:sz="0" w:space="0" w:color="auto"/>
        <w:right w:val="none" w:sz="0" w:space="0" w:color="auto"/>
      </w:divBdr>
    </w:div>
    <w:div w:id="1989704310">
      <w:bodyDiv w:val="1"/>
      <w:marLeft w:val="0"/>
      <w:marRight w:val="0"/>
      <w:marTop w:val="0"/>
      <w:marBottom w:val="0"/>
      <w:divBdr>
        <w:top w:val="none" w:sz="0" w:space="0" w:color="auto"/>
        <w:left w:val="none" w:sz="0" w:space="0" w:color="auto"/>
        <w:bottom w:val="none" w:sz="0" w:space="0" w:color="auto"/>
        <w:right w:val="none" w:sz="0" w:space="0" w:color="auto"/>
      </w:divBdr>
    </w:div>
    <w:div w:id="1993369508">
      <w:bodyDiv w:val="1"/>
      <w:marLeft w:val="0"/>
      <w:marRight w:val="0"/>
      <w:marTop w:val="0"/>
      <w:marBottom w:val="0"/>
      <w:divBdr>
        <w:top w:val="none" w:sz="0" w:space="0" w:color="auto"/>
        <w:left w:val="none" w:sz="0" w:space="0" w:color="auto"/>
        <w:bottom w:val="none" w:sz="0" w:space="0" w:color="auto"/>
        <w:right w:val="none" w:sz="0" w:space="0" w:color="auto"/>
      </w:divBdr>
    </w:div>
    <w:div w:id="1997763829">
      <w:bodyDiv w:val="1"/>
      <w:marLeft w:val="0"/>
      <w:marRight w:val="0"/>
      <w:marTop w:val="0"/>
      <w:marBottom w:val="0"/>
      <w:divBdr>
        <w:top w:val="none" w:sz="0" w:space="0" w:color="auto"/>
        <w:left w:val="none" w:sz="0" w:space="0" w:color="auto"/>
        <w:bottom w:val="none" w:sz="0" w:space="0" w:color="auto"/>
        <w:right w:val="none" w:sz="0" w:space="0" w:color="auto"/>
      </w:divBdr>
    </w:div>
    <w:div w:id="2089881170">
      <w:bodyDiv w:val="1"/>
      <w:marLeft w:val="0"/>
      <w:marRight w:val="0"/>
      <w:marTop w:val="0"/>
      <w:marBottom w:val="0"/>
      <w:divBdr>
        <w:top w:val="none" w:sz="0" w:space="0" w:color="auto"/>
        <w:left w:val="none" w:sz="0" w:space="0" w:color="auto"/>
        <w:bottom w:val="none" w:sz="0" w:space="0" w:color="auto"/>
        <w:right w:val="none" w:sz="0" w:space="0" w:color="auto"/>
      </w:divBdr>
    </w:div>
    <w:div w:id="2147355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560</Words>
  <Characters>3029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Senado Federal</Company>
  <LinksUpToDate>false</LinksUpToDate>
  <CharactersWithSpaces>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Rafael Moraes Nicola</dc:creator>
  <dc:description/>
  <cp:lastModifiedBy>Fabiana Gervázio B. de Souza</cp:lastModifiedBy>
  <cp:revision>4</cp:revision>
  <dcterms:created xsi:type="dcterms:W3CDTF">2023-01-11T12:34:00Z</dcterms:created>
  <dcterms:modified xsi:type="dcterms:W3CDTF">2023-01-11T12:36:00Z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Senado Federal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

<file path=original.xml><?xml version="1.0" encoding="utf-8"?>
<LexML xmlns:xsi="http://www.w3.org/2001/XMLSchema-instance" xmlns:xlink="http://www.w3.org/1999/xlink" xmlns="http://www.lexml.gov.br/1.0" xsi:schemaLocation="http://www.lexml.gov.br/1.0 ../xsd/lexml-br-rigido.xsd">
  <!-- xsi:schemaLocation="http://www.lexml.gov.br/1.0 http://projeto.lexml.gov.br/esquemas/lexml-br-rigido.xsd" > -->
  <Metadado>
    <Identificacao URN="urn:lex:br:senado.federal:resolucao:2022-10-11;39"/>
  </Metadado>
  <ProjetoNorma>
    <Norma>
      <ParteInicial>
        <FormulaPromulgacao id="formulaPromulgacao">
          <lx:p xmlns:lx="http://www.lexml.gov.br/1.0">Faço saber que o Senado Federal aprovou, e eu, Rodrigo Pacheco, Presidente, nos termos do art. 48, inciso XXVIII, do Regimento Interno, promulgo a seguinte</lx:p>
        </FormulaPromulgacao>
        <Epigrafe id="epigrafe">RESOLUÇÃO Nº 39, DE 2022</Epigrafe>
        <Ementa id="ementa">Autoriza o Município de Juazeiro do Norte (CE) a contratar operação de crédito externo, com garantia da República Federativa do Brasil, com a Corporação Andina de Fomento (CAF), no valor de até US$ 80.000.000,00 (oitenta milhões de dólares dos Estados Unidos da América).
</Ementa>
        <Preambulo id="preambulo">
          <p>
 O Senado Federal resolve:
 </p>
        </Preambulo>
      </ParteInicial>
      <Articulacao>
        <Artigo id="art1">
          <Rotulo>Art. 1º</Rotulo>
          <Caput id="art1_cpt">
            <p>
 É o Município de Juazeiro do Norte (CE) autorizado a contratar operação de crédito externo, com garantia da República Federativa do Brasil, com a Corporação Andina de Fomento (CAF), no valor de até US$ 80.000.000,00 (oitenta milhões de dólares dos Estados Unidos da América).
 </p>
          </Caput>
          <Paragrafo id="art1_par1u">
            <Rotulo>Parágrafo único.</Rotulo>
            <p>
 Os recursos da operação de crédito referida no caput deste artigo destinam-se a financiar parcialmente o "Programa de Saneamento e Infraestrutura Urbana de Juazeiro do Norte".
 </p>
          </Paragrafo>
        </Artigo>
        <Artigo id="art2">
          <Rotulo>Art. 2º</Rotulo>
          <Caput id="art2_cpt">
            <p>
 A operação de crédito referida no art. 1º deverá ser realizada nas seguintes condições:
 </p>
            <Inciso id="art2_cpt_inc1">
              <Rotulo>I –</Rotulo>
              <p>
 devedor: Município de Juazeiro do Norte (CE);
 </p>
            </Inciso>
            <Inciso id="art2_cpt_inc2">
              <Rotulo>II –</Rotulo>
              <p>
 credor: Corporação Andina de Fomento (CAF);
 </p>
            </Inciso>
            <Inciso id="art2_cpt_inc3">
              <Rotulo>III –</Rotulo>
              <p>
 garantidor: República Federativa do Brasil;
 </p>
            </Inciso>
            <Inciso id="art2_cpt_inc4">
              <Rotulo>IV –</Rotulo>
              <p>
 valor: até US$ 80.000.000,00 (oitenta milhões de dólares dos Estados Unidos da América);
 </p>
            </Inciso>
            <Inciso id="art2_cpt_inc5">
              <Rotulo>V –</Rotulo>
              <p>
 juros: taxa Libor de 6 (seis) meses mais margem fixa a ser definida na data de assinatura do contrato de empréstimo;
 </p>
            </Inciso>
            <Inciso id="art2_cpt_inc6">
              <Rotulo>VI –</Rotulo>
              <p>
 juros de mora: 2% a.a. (dois por cento ao ano) acima dos juros estabelecidos no contrato de empréstimo;
 </p>
            </Inciso>
            <Inciso id="art2_cpt_inc7">
              <Rotulo>VII –</Rotulo>
              <p>
 cronograma estimativo de desembolsos: US$ 13.320.500,00 (treze milhões, trezentos e vinte mil e quinhentos dólares dos Estados Unidos da América) em 2022, US$ 15.854.000,00 (quinze milhões, oitocentos e cinquenta e quatro mil dólares dos Estados Unidos da América) em 2023, US$ 17.081.000,00 (dezessete milhões e oitenta e um mil dólares dos Estados Unidos da América) em 2024, US$ 17.017.500,00 (dezessete milhões, dezessete mil e quinhentos dólares dos Estados Unidos da América) em 2025 e US$ 16.727.000,00 (dezesseis milhões, setecentos e vinte e sete mil dólares dos Estados Unidos da América) em 2026;
 </p>
            </Inciso>
            <Inciso id="art2_cpt_inc8">
              <Rotulo>VIII –</Rotulo>
              <p>
 comissão de compromisso: 0,35% a.a. (trinta e cinco centésimos por cento ao ano), aplicada sobre o saldo não desembolsado do empréstimo;
 </p>
            </Inciso>
            <Inciso id="art2_cpt_inc9">
              <Rotulo>IX –</Rotulo>
              <p>
 comissão de financiamento: 0,85% (oitenta e cinco centésimos por cento) do montante do empréstimo;
 </p>
            </Inciso>
            <Inciso id="art2_cpt_inc10">
              <Rotulo>X –</Rotulo>
              <p>
 gastos de avaliação: no valor de US$ 50.000,00 (cinquenta mil dólares dos Estados Unidos da América);
 </p>
            </Inciso>
            <Inciso id="art2_cpt_inc11">
              <Rotulo>XI –</Rotulo>
              <p>
 prazo de amortização: 150 (cento e cinquenta) meses, após carência de até 66 (sessenta e seis) meses;
 </p>
            </Inciso>
            <Inciso id="art2_cpt_inc12">
              <Rotulo>XII –</Rotulo>
              <p>
 frequência de amortização: semestral;
 </p>
            </Inciso>
            <Inciso id="art2_cpt_inc13">
              <Rotulo>XIII –</Rotulo>
              <p>
 sistema de amortização: constante.
 </p>
            </Inciso>
          </Caput>
          <Paragrafo id="art2_par1">
            <Rotulo>§ 1º</Rotulo>
            <p>
 As datas de pagamento do principal e dos encargos financeiros e as datas dos desembolsos previstos poderão ser alteradas em função da data de assinatura do contrato de empréstimo, bem como os montantes estimados dos desembolsos em cada ano poderão ser alterados conforme a execução contratual.
 </p>
          </Paragrafo>
          <Paragrafo id="art2_par2">
            <Rotulo>§ 2º</Rotulo>
            <p>
 Será exigida nova autorização do Senado Federal caso ocorram alterações nas condições financeiras do empréstimo antes da assinatura do contrato que impliquem ônus superiores aos previstos nesta Resolução.
 </p>
          </Paragrafo>
        </Artigo>
        <Artigo id="art3">
          <Rotulo>Art. 3º</Rotulo>
          <Caput id="art3_cpt">
            <p>
 É a União autorizada a conceder garantia ao Município de Juazeiro do Norte (CE) na contratação da operação de crédito externo referida nesta resolução.
 </p>
          </Caput>
          <Paragrafo id="art3_par1">
            <!--Link: urn:lex:br:federal:constituicao:1988-10-05;1988!art167_par4-->
            <Rotulo>§ 1º</Rotulo>
            <p>
 O exercício da autorização prevista no caput é condicionado a que o Município de Juazeiro do Norte (CE) celebre contrato com a União para a concessão de contragarantias, sob a forma de vinculação das receitas de que tratam os arts. 156, 158 e 159, nos termos do 
              <span xlink:href="urn:lex:br:federal:constituicao:1988-10-05;1988!art167_par4">§ 4º do art. 167, todos da Constituição Federal</span>
              , e de outras garantias em direito admitidas, podendo o Governo Federal requerer as transferências de recursos necessários para a cobertura dos compromissos honrados diretamente das contas centralizadoras da arrecadação do Município ou das transferências federais.
            </p>
          </Paragrafo>
          <Paragrafo id="art3_par2">
            <!--Link: urn:lex:br:senado.federal:resolucao:2007;48!art10-->
            <Rotulo>§ 2º</Rotulo>
            <p>
 Previamente à assinatura do contrato, o Ministério da Economia verificará e atestará a adimplência do Município de Juazeiro do Norte (CE) quanto aos pagamentos e às prestações de contas referidos no 
              <span xlink:href="urn:lex:br:senado.federal:resolucao:2007;48!art10">art. 10 da Resolução do Senado Federal nº 48, de 2007</span>
              , bem como quanto ao pagamento dos precatórios e ao cumprimento substancial das condições de primeiro desembolso.
            </p>
          </Paragrafo>
        </Artigo>
        <Artigo id="art4">
          <Rotulo>Art. 4º</Rotulo>
          <Caput id="art4_cpt">
            <p>
 O prazo máximo para o exercício da presente autorização é de 540 (quinhentos e quarenta) dias, contado a partir da entrada em vigor desta Resolução.
 </p>
          </Caput>
        </Artigo>
        <Artigo id="art5">
          <Rotulo>Art. 5º</Rotulo>
          <Caput id="art5_cpt">
            <p>
 Esta Resolução entra em vigor na data de sua publicação.
 </p>
          </Caput>
        </Artigo>
      </Articulacao>
      <ParteFinal>
        <LocalDataFecho id="localDataFecho">
          <lx:p xmlns:lx="http://www.lexml.gov.br/1.0">Senado Federal, em 11 de outubro de 2022</lx:p>
        </LocalDataFecho>
        <AssinaturaTexto id="assinaturaTexto">
          <lx:p xmlns:lx="http://www.lexml.gov.br/1.0">
            <b>Senador RODRIGO PACHECO</b>
          </lx:p>
          <lx:p xmlns:lx="http://www.lexml.gov.br/1.0">Presidente do Senado Federal</lx:p>
        </AssinaturaTexto>
      </ParteFinal>
    </Norma>
  </ProjetoNorma>
</LexML>
</file>