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OriginalLexMLDocument" Type="http://www.lexml.gov.br/doc" Target="original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610104" w14:textId="77777777" w:rsidR="004C0DA0" w:rsidRDefault="004C0DA0" w:rsidP="004C0DA0">
      <w:pPr>
        <w:pStyle w:val="DefaultParagraph"/>
      </w:pPr>
      <w:r>
        <w:t>LEI Nº 15.009, DE 29 DE OUTUBRO DE 2024</w:t>
      </w:r>
    </w:p>
    <w:p w14:paraId="59982E9B" w14:textId="77777777" w:rsidR="004C0DA0" w:rsidRDefault="004C0DA0" w:rsidP="004C0DA0">
      <w:pPr>
        <w:pStyle w:val="DefaultParagraph"/>
      </w:pPr>
      <w:r>
        <w:t>Altera a Lei nº 13.733, de 16 de novembro de 2018, para instituir o Outubrinho Rosa, a ser realizado no mês de outubro.</w:t>
      </w:r>
    </w:p>
    <w:p w14:paraId="1E3236C7" w14:textId="77777777" w:rsidR="004C0DA0" w:rsidRDefault="004C0DA0" w:rsidP="004C0DA0">
      <w:pPr>
        <w:pStyle w:val="DefaultParagraph"/>
        <w:rPr>
          <w:b/>
          <w:bCs/>
        </w:rPr>
      </w:pPr>
      <w:r w:rsidRPr="004C0DA0">
        <w:rPr>
          <w:b/>
          <w:bCs/>
        </w:rPr>
        <w:t>O PRESIDENTE DA REPÚBLICA</w:t>
      </w:r>
    </w:p>
    <w:p w14:paraId="34381F06" w14:textId="77777777" w:rsidR="004C0DA0" w:rsidRDefault="004C0DA0" w:rsidP="004C0DA0">
      <w:pPr>
        <w:pStyle w:val="DefaultParagraph"/>
      </w:pPr>
      <w:r>
        <w:t>Faço saber que o Congresso Nacional decreta e eu sanciono a seguinte Lei:</w:t>
      </w:r>
    </w:p>
    <w:p w14:paraId="020B2E57" w14:textId="77777777" w:rsidR="004C0DA0" w:rsidRDefault="004C0DA0" w:rsidP="004C0DA0">
      <w:pPr>
        <w:pStyle w:val="DefaultParagraph"/>
      </w:pPr>
      <w:r>
        <w:t>Art. 1º Esta Lei altera a Lei nº 13.733, de 16 de novembro de 2018, para instituir o Outubrinho Rosa, a ser realizado, anualmente, no mês de outubro.</w:t>
      </w:r>
    </w:p>
    <w:p w14:paraId="445CEAFF" w14:textId="22FE7A93" w:rsidR="00341A9C" w:rsidRDefault="004C0DA0" w:rsidP="004C0DA0">
      <w:pPr>
        <w:pStyle w:val="DefaultParagraph"/>
      </w:pPr>
      <w:r>
        <w:t>Art. 2º A ementa da Lei nº 13.733, de 16 de novembro de 2018, passa a vigorar com a seguinte redação:</w:t>
      </w:r>
    </w:p>
    <w:p w14:paraId="2E58930A" w14:textId="2522D548" w:rsidR="004C0DA0" w:rsidRDefault="004C0DA0" w:rsidP="004C0DA0">
      <w:pPr>
        <w:pStyle w:val="DefaultParagraph"/>
      </w:pPr>
      <w:r>
        <w:t>"Dispõe sobre atividades da campanha Outubro Rosa e institui o Outubrinho Rosa." (NR)</w:t>
      </w:r>
    </w:p>
    <w:p w14:paraId="6B5D3407" w14:textId="17B11A85" w:rsidR="00341A9C" w:rsidRDefault="004C0DA0" w:rsidP="004C0DA0">
      <w:pPr>
        <w:pStyle w:val="DefaultParagraph"/>
      </w:pPr>
      <w:r>
        <w:t>Art. 3º A Lei nº 13.733, de 16 de novembro de 2018, passa a vigorar acrescida do seguinte art. 1º-A:</w:t>
      </w:r>
    </w:p>
    <w:p w14:paraId="35802F70" w14:textId="3BB0092F" w:rsidR="004C0DA0" w:rsidRDefault="004C0DA0" w:rsidP="004C0DA0">
      <w:pPr>
        <w:pStyle w:val="DefaultParagraph"/>
      </w:pPr>
      <w:r>
        <w:t>"Art. 1º-A. É instituído o Outubrinho Rosa, a ser realizado, anualmente, no mês de outubro, por meio de ações que tenham como objetivo:</w:t>
      </w:r>
    </w:p>
    <w:p w14:paraId="61B652A3" w14:textId="77777777" w:rsidR="004C0DA0" w:rsidRDefault="004C0DA0" w:rsidP="004C0DA0">
      <w:pPr>
        <w:pStyle w:val="DefaultParagraph"/>
      </w:pPr>
      <w:r>
        <w:t>I - a promoção de discussão de especialistas acerca das medidas de prevenção, para meninas de até 15 (quinze) anos, de condições que possam ser diagnosticadas e tratadas precocemente, nos termos de regulamento;</w:t>
      </w:r>
    </w:p>
    <w:p w14:paraId="63620CA6" w14:textId="77777777" w:rsidR="004C0DA0" w:rsidRDefault="004C0DA0" w:rsidP="004C0DA0">
      <w:pPr>
        <w:pStyle w:val="DefaultParagraph"/>
      </w:pPr>
      <w:r>
        <w:t>II - a realização de campanhas de conscientização, com distribuição de material informativo, sobre a importância de:</w:t>
      </w:r>
    </w:p>
    <w:p w14:paraId="475F791A" w14:textId="77777777" w:rsidR="004C0DA0" w:rsidRDefault="004C0DA0" w:rsidP="004C0DA0">
      <w:pPr>
        <w:pStyle w:val="DefaultParagraph"/>
      </w:pPr>
      <w:r>
        <w:t>a) adoção de hábitos saudáveis para a prevenção de doenças;</w:t>
      </w:r>
    </w:p>
    <w:p w14:paraId="1759B01F" w14:textId="77777777" w:rsidR="004C0DA0" w:rsidRDefault="004C0DA0" w:rsidP="004C0DA0">
      <w:pPr>
        <w:pStyle w:val="DefaultParagraph"/>
      </w:pPr>
      <w:r>
        <w:t>b) diagnóstico e tratamento precoces de condições de saúde de meninas de até 15 (quinze) anos, nos termos de regulamento;</w:t>
      </w:r>
    </w:p>
    <w:p w14:paraId="3183E1EB" w14:textId="77777777" w:rsidR="004C0DA0" w:rsidRDefault="004C0DA0" w:rsidP="004C0DA0">
      <w:pPr>
        <w:pStyle w:val="DefaultParagraph"/>
      </w:pPr>
      <w:r>
        <w:t>c) vacina contra o papilomavírus humano (Human Papillomavirus - HPV);</w:t>
      </w:r>
    </w:p>
    <w:p w14:paraId="3613146E" w14:textId="77777777" w:rsidR="004C0DA0" w:rsidRDefault="004C0DA0" w:rsidP="004C0DA0">
      <w:pPr>
        <w:pStyle w:val="DefaultParagraph"/>
      </w:pPr>
      <w:r>
        <w:t>III - a capacitação dos gestores locais do Sistema Único de Saúde (SUS) acerca da importância da eficiente disponibilização a meninas de até 15 (quinze) anos de serviços e procedimentos ligados à prevenção de condições que sejam fatores de risco para doenças na vida adulta;</w:t>
      </w:r>
    </w:p>
    <w:p w14:paraId="7A475090" w14:textId="77777777" w:rsidR="004C0DA0" w:rsidRDefault="004C0DA0" w:rsidP="004C0DA0">
      <w:pPr>
        <w:pStyle w:val="DefaultParagraph"/>
      </w:pPr>
      <w:r>
        <w:t>IV - a formação e a capacitação contínuas dos recursos humanos em saúde que lidam com meninas de até 15 (quinze) anos."</w:t>
      </w:r>
    </w:p>
    <w:p w14:paraId="7B003AFF" w14:textId="77777777" w:rsidR="004C0DA0" w:rsidRDefault="004C0DA0" w:rsidP="004C0DA0">
      <w:pPr>
        <w:pStyle w:val="DefaultParagraph"/>
      </w:pPr>
      <w:r>
        <w:t>Art. 4º Esta Lei entra em vigor na data de sua publicação.</w:t>
      </w:r>
    </w:p>
    <w:sectPr w:rsidR="004C0DA0" w:rsidSect="004B5A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2AD872" w14:textId="77777777" w:rsidR="00827B3F" w:rsidRDefault="00827B3F">
      <w:pPr>
        <w:pStyle w:val="DefaultParagraph"/>
      </w:pPr>
      <w:r>
        <w:separator/>
      </w:r>
    </w:p>
  </w:endnote>
  <w:endnote w:type="continuationSeparator" w:id="0">
    <w:p w14:paraId="68F2F33F" w14:textId="77777777" w:rsidR="00827B3F" w:rsidRDefault="00827B3F">
      <w:pPr>
        <w:pStyle w:val="Default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B00502" w14:textId="77777777" w:rsidR="00827B3F" w:rsidRDefault="00827B3F">
      <w:r>
        <w:separator/>
      </w:r>
    </w:p>
  </w:footnote>
  <w:footnote w:type="continuationSeparator" w:id="0">
    <w:p w14:paraId="3163658A" w14:textId="77777777" w:rsidR="00827B3F" w:rsidRDefault="00827B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08"/>
  <w:hyphenationZone w:val="425"/>
  <w:characterSpacingControl w:val="doNotCompress"/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804"/>
    <w:rsid w:val="00003986"/>
    <w:rsid w:val="000124C9"/>
    <w:rsid w:val="000303A5"/>
    <w:rsid w:val="00035E94"/>
    <w:rsid w:val="00066EC8"/>
    <w:rsid w:val="00067C34"/>
    <w:rsid w:val="00072A01"/>
    <w:rsid w:val="00074870"/>
    <w:rsid w:val="000A1C18"/>
    <w:rsid w:val="000A352D"/>
    <w:rsid w:val="000B1333"/>
    <w:rsid w:val="000B504A"/>
    <w:rsid w:val="000C27B5"/>
    <w:rsid w:val="000C2E62"/>
    <w:rsid w:val="000C5F62"/>
    <w:rsid w:val="000D0B22"/>
    <w:rsid w:val="000D7187"/>
    <w:rsid w:val="000D746E"/>
    <w:rsid w:val="000E76C7"/>
    <w:rsid w:val="000F7875"/>
    <w:rsid w:val="00101F34"/>
    <w:rsid w:val="00120A08"/>
    <w:rsid w:val="00130E8E"/>
    <w:rsid w:val="00135B65"/>
    <w:rsid w:val="00140F68"/>
    <w:rsid w:val="0015220A"/>
    <w:rsid w:val="00157F8C"/>
    <w:rsid w:val="00163894"/>
    <w:rsid w:val="00173746"/>
    <w:rsid w:val="001C2C70"/>
    <w:rsid w:val="001D3BBA"/>
    <w:rsid w:val="001E6D57"/>
    <w:rsid w:val="00201914"/>
    <w:rsid w:val="00201B82"/>
    <w:rsid w:val="0020344F"/>
    <w:rsid w:val="00227C7D"/>
    <w:rsid w:val="00243734"/>
    <w:rsid w:val="00245678"/>
    <w:rsid w:val="00253262"/>
    <w:rsid w:val="00253C2B"/>
    <w:rsid w:val="00273A01"/>
    <w:rsid w:val="00277319"/>
    <w:rsid w:val="00290ACF"/>
    <w:rsid w:val="002A2256"/>
    <w:rsid w:val="002A450E"/>
    <w:rsid w:val="002B28A3"/>
    <w:rsid w:val="002D5CAB"/>
    <w:rsid w:val="002E1828"/>
    <w:rsid w:val="002E4109"/>
    <w:rsid w:val="00300E40"/>
    <w:rsid w:val="00304B46"/>
    <w:rsid w:val="00322980"/>
    <w:rsid w:val="00340AE3"/>
    <w:rsid w:val="00341A9C"/>
    <w:rsid w:val="00344955"/>
    <w:rsid w:val="00353699"/>
    <w:rsid w:val="00356AC7"/>
    <w:rsid w:val="00361E74"/>
    <w:rsid w:val="0036468D"/>
    <w:rsid w:val="00382CEB"/>
    <w:rsid w:val="003A2AB8"/>
    <w:rsid w:val="003B55DB"/>
    <w:rsid w:val="003B77B1"/>
    <w:rsid w:val="003D397F"/>
    <w:rsid w:val="003F74E8"/>
    <w:rsid w:val="004277C4"/>
    <w:rsid w:val="00432D9F"/>
    <w:rsid w:val="004462B1"/>
    <w:rsid w:val="00447A77"/>
    <w:rsid w:val="004503C0"/>
    <w:rsid w:val="0046246C"/>
    <w:rsid w:val="004646A9"/>
    <w:rsid w:val="00482284"/>
    <w:rsid w:val="004A7F9A"/>
    <w:rsid w:val="004B4DF6"/>
    <w:rsid w:val="004B5A7C"/>
    <w:rsid w:val="004C0DA0"/>
    <w:rsid w:val="004D4F13"/>
    <w:rsid w:val="004D5269"/>
    <w:rsid w:val="004D6775"/>
    <w:rsid w:val="004E7873"/>
    <w:rsid w:val="004F779A"/>
    <w:rsid w:val="00503CDE"/>
    <w:rsid w:val="005223CF"/>
    <w:rsid w:val="005307CD"/>
    <w:rsid w:val="005419A6"/>
    <w:rsid w:val="005420EA"/>
    <w:rsid w:val="00545B31"/>
    <w:rsid w:val="005609AC"/>
    <w:rsid w:val="00581E77"/>
    <w:rsid w:val="0058738D"/>
    <w:rsid w:val="005B4836"/>
    <w:rsid w:val="005C2F7E"/>
    <w:rsid w:val="005D3F1B"/>
    <w:rsid w:val="005D7DCA"/>
    <w:rsid w:val="005E45FC"/>
    <w:rsid w:val="006061B4"/>
    <w:rsid w:val="00611902"/>
    <w:rsid w:val="00617DEC"/>
    <w:rsid w:val="006378C3"/>
    <w:rsid w:val="006734C1"/>
    <w:rsid w:val="0067795E"/>
    <w:rsid w:val="0068794F"/>
    <w:rsid w:val="006945FE"/>
    <w:rsid w:val="006B0CDF"/>
    <w:rsid w:val="006C1547"/>
    <w:rsid w:val="006C247C"/>
    <w:rsid w:val="006D6750"/>
    <w:rsid w:val="006E48D1"/>
    <w:rsid w:val="007001E7"/>
    <w:rsid w:val="00706C94"/>
    <w:rsid w:val="007155CE"/>
    <w:rsid w:val="0072574B"/>
    <w:rsid w:val="0072670C"/>
    <w:rsid w:val="0074513E"/>
    <w:rsid w:val="0076437C"/>
    <w:rsid w:val="007742C8"/>
    <w:rsid w:val="00794EEE"/>
    <w:rsid w:val="007A14B2"/>
    <w:rsid w:val="007B0FEA"/>
    <w:rsid w:val="007B3E31"/>
    <w:rsid w:val="007E15BB"/>
    <w:rsid w:val="007E7E12"/>
    <w:rsid w:val="008123C7"/>
    <w:rsid w:val="00813958"/>
    <w:rsid w:val="00813BCF"/>
    <w:rsid w:val="00820E83"/>
    <w:rsid w:val="00827B3F"/>
    <w:rsid w:val="00836D13"/>
    <w:rsid w:val="00846D97"/>
    <w:rsid w:val="00847F5F"/>
    <w:rsid w:val="00866035"/>
    <w:rsid w:val="008661B6"/>
    <w:rsid w:val="00873C24"/>
    <w:rsid w:val="00880044"/>
    <w:rsid w:val="008A2C6F"/>
    <w:rsid w:val="008B361D"/>
    <w:rsid w:val="008C07FA"/>
    <w:rsid w:val="008C2AB3"/>
    <w:rsid w:val="008C419D"/>
    <w:rsid w:val="008D4E3B"/>
    <w:rsid w:val="008E38A7"/>
    <w:rsid w:val="008E670D"/>
    <w:rsid w:val="008F1B44"/>
    <w:rsid w:val="00902083"/>
    <w:rsid w:val="00904DA1"/>
    <w:rsid w:val="00916DB5"/>
    <w:rsid w:val="00930060"/>
    <w:rsid w:val="00933F98"/>
    <w:rsid w:val="00956E3F"/>
    <w:rsid w:val="00970C43"/>
    <w:rsid w:val="009936A5"/>
    <w:rsid w:val="0099381B"/>
    <w:rsid w:val="00997C28"/>
    <w:rsid w:val="009A49DE"/>
    <w:rsid w:val="009B2C78"/>
    <w:rsid w:val="009C658E"/>
    <w:rsid w:val="009C72BA"/>
    <w:rsid w:val="009E0495"/>
    <w:rsid w:val="009E3D9F"/>
    <w:rsid w:val="009F370A"/>
    <w:rsid w:val="00A01930"/>
    <w:rsid w:val="00A20E38"/>
    <w:rsid w:val="00A26C06"/>
    <w:rsid w:val="00A330EA"/>
    <w:rsid w:val="00A371A9"/>
    <w:rsid w:val="00A413B0"/>
    <w:rsid w:val="00A46823"/>
    <w:rsid w:val="00A64445"/>
    <w:rsid w:val="00A65861"/>
    <w:rsid w:val="00A70EA4"/>
    <w:rsid w:val="00A76614"/>
    <w:rsid w:val="00A8404F"/>
    <w:rsid w:val="00A85B59"/>
    <w:rsid w:val="00AD5435"/>
    <w:rsid w:val="00AF21E9"/>
    <w:rsid w:val="00B04CAC"/>
    <w:rsid w:val="00B05AE2"/>
    <w:rsid w:val="00B2228F"/>
    <w:rsid w:val="00B500DC"/>
    <w:rsid w:val="00B6454D"/>
    <w:rsid w:val="00B7418D"/>
    <w:rsid w:val="00B7651C"/>
    <w:rsid w:val="00B92147"/>
    <w:rsid w:val="00BA3E05"/>
    <w:rsid w:val="00BB5614"/>
    <w:rsid w:val="00BB5C2E"/>
    <w:rsid w:val="00BC4852"/>
    <w:rsid w:val="00BC6DD4"/>
    <w:rsid w:val="00BD64C8"/>
    <w:rsid w:val="00C1246B"/>
    <w:rsid w:val="00C16ED5"/>
    <w:rsid w:val="00C22B04"/>
    <w:rsid w:val="00C22DBB"/>
    <w:rsid w:val="00C327E2"/>
    <w:rsid w:val="00C36FE8"/>
    <w:rsid w:val="00C444B2"/>
    <w:rsid w:val="00C51EC4"/>
    <w:rsid w:val="00C571F1"/>
    <w:rsid w:val="00C64527"/>
    <w:rsid w:val="00C665C5"/>
    <w:rsid w:val="00C83CB7"/>
    <w:rsid w:val="00C84874"/>
    <w:rsid w:val="00C8554C"/>
    <w:rsid w:val="00C91221"/>
    <w:rsid w:val="00C97DE4"/>
    <w:rsid w:val="00CA6AF6"/>
    <w:rsid w:val="00CC4494"/>
    <w:rsid w:val="00CD1609"/>
    <w:rsid w:val="00CE0612"/>
    <w:rsid w:val="00CE3B3D"/>
    <w:rsid w:val="00CF45B2"/>
    <w:rsid w:val="00D10779"/>
    <w:rsid w:val="00D3447A"/>
    <w:rsid w:val="00D365CD"/>
    <w:rsid w:val="00D369E3"/>
    <w:rsid w:val="00D43D39"/>
    <w:rsid w:val="00D547D7"/>
    <w:rsid w:val="00D73A40"/>
    <w:rsid w:val="00DB589C"/>
    <w:rsid w:val="00DB665A"/>
    <w:rsid w:val="00DE13CC"/>
    <w:rsid w:val="00DE2DBA"/>
    <w:rsid w:val="00DE36EC"/>
    <w:rsid w:val="00DE5B67"/>
    <w:rsid w:val="00DF1B10"/>
    <w:rsid w:val="00E027AF"/>
    <w:rsid w:val="00E049EB"/>
    <w:rsid w:val="00E07C5F"/>
    <w:rsid w:val="00E1275B"/>
    <w:rsid w:val="00E2159B"/>
    <w:rsid w:val="00E250F2"/>
    <w:rsid w:val="00E25304"/>
    <w:rsid w:val="00E62AAF"/>
    <w:rsid w:val="00E656FD"/>
    <w:rsid w:val="00E70749"/>
    <w:rsid w:val="00E75528"/>
    <w:rsid w:val="00E947B1"/>
    <w:rsid w:val="00EA4C6F"/>
    <w:rsid w:val="00EA71CA"/>
    <w:rsid w:val="00EA7AFE"/>
    <w:rsid w:val="00EB0F57"/>
    <w:rsid w:val="00EB5446"/>
    <w:rsid w:val="00ED2F9A"/>
    <w:rsid w:val="00EE5970"/>
    <w:rsid w:val="00EF0A6A"/>
    <w:rsid w:val="00EF4B7C"/>
    <w:rsid w:val="00F023CB"/>
    <w:rsid w:val="00F11A11"/>
    <w:rsid w:val="00F15757"/>
    <w:rsid w:val="00F31E65"/>
    <w:rsid w:val="00F414A0"/>
    <w:rsid w:val="00F42148"/>
    <w:rsid w:val="00F4335F"/>
    <w:rsid w:val="00F476A1"/>
    <w:rsid w:val="00F65C55"/>
    <w:rsid w:val="00F67B74"/>
    <w:rsid w:val="00F73DA9"/>
    <w:rsid w:val="00F74B5E"/>
    <w:rsid w:val="00F86BD0"/>
    <w:rsid w:val="00F913A2"/>
    <w:rsid w:val="00F95C1A"/>
    <w:rsid w:val="00FA7C64"/>
    <w:rsid w:val="00FB0D4A"/>
    <w:rsid w:val="00FB4710"/>
    <w:rsid w:val="00FB5A71"/>
    <w:rsid w:val="00FC747C"/>
    <w:rsid w:val="00FD2804"/>
    <w:rsid w:val="00FE4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DC037"/>
  <w15:docId w15:val="{4C8DADA9-94D6-462D-AABF-04C032833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Paragraph">
    <w:name w:val="Default Paragraph"/>
    <w:link w:val="DefaultCharacter"/>
    <w:uiPriority w:val="1"/>
    <w:qFormat/>
    <w:pPr>
      <w:tabs>
        <w:tab w:val="right" w:leader="dot" w:pos="8496"/>
      </w:tabs>
      <w:spacing w:after="120"/>
      <w:ind w:firstLine="567"/>
      <w:jc w:val="both"/>
    </w:pPr>
  </w:style>
  <w:style w:type="character" w:customStyle="1" w:styleId="DefaultCharacter">
    <w:name w:val="Default Character"/>
    <w:link w:val="DefaultParagraph"/>
    <w:uiPriority w:val="1"/>
    <w:qFormat/>
    <w:rPr>
      <w:rFonts w:ascii="Arial" w:hAnsi="Arial" w:cs="Arial"/>
      <w:sz w:val="20"/>
      <w:szCs w:val="20"/>
    </w:rPr>
  </w:style>
  <w:style w:type="paragraph" w:customStyle="1" w:styleId="Epigrafeparagrafo">
    <w:name w:val="Epigrafe (paragrafo)"/>
    <w:basedOn w:val="DefaultParagraph"/>
    <w:link w:val="Epigrafecaractere"/>
    <w:uiPriority w:val="1"/>
    <w:qFormat/>
    <w:pPr>
      <w:spacing w:before="240" w:after="240"/>
      <w:ind w:firstLine="0"/>
      <w:jc w:val="center"/>
    </w:pPr>
  </w:style>
  <w:style w:type="character" w:customStyle="1" w:styleId="Epigrafecaractere">
    <w:name w:val="Epigrafe (caractere)"/>
    <w:basedOn w:val="DefaultCharacter"/>
    <w:link w:val="Epigrafeparagrafo"/>
    <w:uiPriority w:val="1"/>
    <w:qFormat/>
    <w:rPr>
      <w:rFonts w:ascii="Arial" w:hAnsi="Arial" w:cs="Arial"/>
      <w:b/>
      <w:bCs/>
      <w:caps/>
      <w:sz w:val="24"/>
      <w:szCs w:val="24"/>
    </w:rPr>
  </w:style>
  <w:style w:type="paragraph" w:customStyle="1" w:styleId="Ementaparagrafo">
    <w:name w:val="Ementa (paragrafo)"/>
    <w:basedOn w:val="DefaultParagraph"/>
    <w:link w:val="Ementacaractere"/>
    <w:uiPriority w:val="1"/>
    <w:qFormat/>
    <w:pPr>
      <w:spacing w:after="240" w:line="240" w:lineRule="atLeast"/>
      <w:ind w:left="3969" w:firstLine="0"/>
    </w:pPr>
  </w:style>
  <w:style w:type="character" w:customStyle="1" w:styleId="Ementacaractere">
    <w:name w:val="Ementa (caractere)"/>
    <w:basedOn w:val="DefaultCharacter"/>
    <w:link w:val="Ementaparagrafo"/>
    <w:uiPriority w:val="1"/>
    <w:qFormat/>
    <w:rPr>
      <w:rFonts w:ascii="Arial" w:hAnsi="Arial" w:cs="Arial"/>
      <w:b/>
      <w:i/>
      <w:sz w:val="18"/>
      <w:szCs w:val="18"/>
    </w:rPr>
  </w:style>
  <w:style w:type="paragraph" w:customStyle="1" w:styleId="Preambuloparagrafo">
    <w:name w:val="Preambulo (paragrafo)"/>
    <w:basedOn w:val="DefaultParagraph"/>
    <w:link w:val="Preambulocaractere"/>
    <w:uiPriority w:val="1"/>
    <w:qFormat/>
    <w:pPr>
      <w:spacing w:line="240" w:lineRule="atLeast"/>
    </w:pPr>
  </w:style>
  <w:style w:type="character" w:customStyle="1" w:styleId="Preambulocaractere">
    <w:name w:val="Preambulo (caractere)"/>
    <w:basedOn w:val="DefaultCharacter"/>
    <w:link w:val="Preambuloparagrafo"/>
    <w:uiPriority w:val="1"/>
    <w:qFormat/>
    <w:rPr>
      <w:rFonts w:ascii="Arial" w:hAnsi="Arial" w:cs="Arial"/>
      <w:sz w:val="20"/>
      <w:szCs w:val="20"/>
    </w:rPr>
  </w:style>
  <w:style w:type="paragraph" w:customStyle="1" w:styleId="NomedeAgrupadorparagrafo">
    <w:name w:val="Nome de Agrupador (paragrafo)"/>
    <w:basedOn w:val="DefaultParagraph"/>
    <w:link w:val="NomedeAgrupadorcaracter"/>
    <w:uiPriority w:val="1"/>
    <w:qFormat/>
    <w:pPr>
      <w:ind w:firstLine="0"/>
      <w:jc w:val="center"/>
    </w:pPr>
  </w:style>
  <w:style w:type="character" w:customStyle="1" w:styleId="NomedeAgrupadorcaracter">
    <w:name w:val="Nome de Agrupador (caracter)"/>
    <w:basedOn w:val="DefaultCharacter"/>
    <w:link w:val="NomedeAgrupadorparagrafo"/>
    <w:uiPriority w:val="1"/>
    <w:qFormat/>
    <w:rPr>
      <w:rFonts w:ascii="Arial" w:hAnsi="Arial" w:cs="Arial"/>
      <w:i/>
      <w:caps/>
      <w:sz w:val="22"/>
      <w:szCs w:val="22"/>
    </w:rPr>
  </w:style>
  <w:style w:type="paragraph" w:customStyle="1" w:styleId="RotulodeAgrupadorparagrafo">
    <w:name w:val="Rotulo de Agrupador (paragrafo)"/>
    <w:basedOn w:val="DefaultParagraph"/>
    <w:link w:val="RotulodeAgrupadorcaracter"/>
    <w:uiPriority w:val="1"/>
    <w:qFormat/>
    <w:pPr>
      <w:ind w:firstLine="0"/>
      <w:jc w:val="center"/>
    </w:pPr>
  </w:style>
  <w:style w:type="character" w:customStyle="1" w:styleId="RotulodeAgrupadorcaracter">
    <w:name w:val="Rotulo de Agrupador (caracter)"/>
    <w:basedOn w:val="DefaultCharacter"/>
    <w:link w:val="RotulodeAgrupadorparagrafo"/>
    <w:uiPriority w:val="1"/>
    <w:qFormat/>
    <w:rPr>
      <w:rFonts w:ascii="Arial" w:hAnsi="Arial" w:cs="Arial"/>
      <w:b/>
      <w:caps/>
      <w:sz w:val="24"/>
      <w:szCs w:val="24"/>
    </w:rPr>
  </w:style>
  <w:style w:type="character" w:customStyle="1" w:styleId="RotulodeSecaoeSubsecaocaractere">
    <w:name w:val="Rotulo de Secao e Subsecao (caractere)"/>
    <w:basedOn w:val="RotulodeAgrupadorcaracter"/>
    <w:uiPriority w:val="1"/>
    <w:qFormat/>
    <w:rPr>
      <w:rFonts w:ascii="Arial" w:hAnsi="Arial" w:cs="Arial"/>
      <w:b/>
      <w:caps w:val="0"/>
      <w:smallCaps w:val="0"/>
      <w:sz w:val="24"/>
      <w:szCs w:val="24"/>
    </w:rPr>
  </w:style>
  <w:style w:type="character" w:customStyle="1" w:styleId="SecaoeSubsecaocaractere">
    <w:name w:val="Secao e Subsecao (caractere)"/>
    <w:basedOn w:val="DefaultCharacter"/>
    <w:uiPriority w:val="1"/>
    <w:qFormat/>
    <w:rPr>
      <w:rFonts w:ascii="Arial" w:hAnsi="Arial" w:cs="Arial"/>
      <w:i/>
      <w:sz w:val="22"/>
      <w:szCs w:val="22"/>
    </w:rPr>
  </w:style>
  <w:style w:type="paragraph" w:customStyle="1" w:styleId="ConteudodeDispositivoparagrafo">
    <w:name w:val="Conteudo de Dispositivo (paragrafo)"/>
    <w:basedOn w:val="DefaultParagraph"/>
    <w:uiPriority w:val="1"/>
    <w:qFormat/>
  </w:style>
  <w:style w:type="character" w:customStyle="1" w:styleId="TitulodeArtigocaractere">
    <w:name w:val="Titulo de Artigo (caractere)"/>
    <w:basedOn w:val="DefaultCharacter"/>
    <w:uiPriority w:val="1"/>
    <w:qFormat/>
    <w:rPr>
      <w:rFonts w:ascii="Arial" w:hAnsi="Arial" w:cs="Arial"/>
      <w:b/>
      <w:bCs/>
      <w:sz w:val="20"/>
      <w:szCs w:val="20"/>
    </w:rPr>
  </w:style>
  <w:style w:type="character" w:customStyle="1" w:styleId="Remissaocaractere">
    <w:name w:val="Remissao (caractere)"/>
    <w:basedOn w:val="DefaultCharacter"/>
    <w:uiPriority w:val="1"/>
    <w:qFormat/>
    <w:rPr>
      <w:rFonts w:ascii="Arial" w:hAnsi="Arial" w:cs="Arial"/>
      <w:sz w:val="20"/>
      <w:szCs w:val="20"/>
      <w:u w:val="single"/>
    </w:rPr>
  </w:style>
  <w:style w:type="paragraph" w:customStyle="1" w:styleId="FormulaPromulgacaoparagrafo">
    <w:name w:val="FormulaPromulgacao (paragrafo)"/>
    <w:basedOn w:val="DefaultParagraph"/>
    <w:link w:val="FormulaPromulgacaocaracter"/>
    <w:uiPriority w:val="1"/>
    <w:qFormat/>
  </w:style>
  <w:style w:type="character" w:customStyle="1" w:styleId="FormulaPromulgacaocaracter">
    <w:name w:val="FormulaPromulgacao (caracter)"/>
    <w:basedOn w:val="DefaultCharacter"/>
    <w:link w:val="FormulaPromulgacaoparagrafo"/>
    <w:uiPriority w:val="1"/>
    <w:qFormat/>
    <w:rPr>
      <w:rFonts w:ascii="Arial" w:hAnsi="Arial" w:cs="Arial"/>
      <w:sz w:val="20"/>
      <w:szCs w:val="20"/>
    </w:rPr>
  </w:style>
  <w:style w:type="paragraph" w:customStyle="1" w:styleId="LocalDataFechoparagrafo">
    <w:name w:val="LocalDataFecho (paragrafo)"/>
    <w:basedOn w:val="DefaultParagraph"/>
    <w:link w:val="LocalDataFechocaracter"/>
    <w:uiPriority w:val="1"/>
    <w:qFormat/>
    <w:pPr>
      <w:spacing w:before="240" w:line="240" w:lineRule="atLeast"/>
    </w:pPr>
  </w:style>
  <w:style w:type="character" w:customStyle="1" w:styleId="LocalDataFechocaracter">
    <w:name w:val="LocalDataFecho (caracter)"/>
    <w:basedOn w:val="DefaultCharacter"/>
    <w:link w:val="LocalDataFechoparagrafo"/>
    <w:uiPriority w:val="1"/>
    <w:qFormat/>
    <w:rPr>
      <w:rFonts w:ascii="Arial" w:hAnsi="Arial" w:cs="Arial"/>
      <w:sz w:val="20"/>
      <w:szCs w:val="20"/>
    </w:rPr>
  </w:style>
  <w:style w:type="paragraph" w:customStyle="1" w:styleId="AssinaturaTextoparagrafo">
    <w:name w:val="AssinaturaTexto (paragrafo)"/>
    <w:basedOn w:val="DefaultParagraph"/>
    <w:link w:val="AssinaturaTextocaracter"/>
    <w:uiPriority w:val="1"/>
    <w:qFormat/>
    <w:pPr>
      <w:spacing w:before="240" w:line="240" w:lineRule="atLeast"/>
      <w:ind w:left="4253" w:firstLine="0"/>
      <w:jc w:val="center"/>
    </w:pPr>
  </w:style>
  <w:style w:type="character" w:customStyle="1" w:styleId="AssinaturaTextocaracter">
    <w:name w:val="AssinaturaTexto (caracter)"/>
    <w:basedOn w:val="DefaultCharacter"/>
    <w:link w:val="AssinaturaTextoparagrafo"/>
    <w:uiPriority w:val="1"/>
    <w:qFormat/>
    <w:rPr>
      <w:rFonts w:ascii="Arial" w:hAnsi="Arial" w:cs="Arial"/>
      <w:sz w:val="20"/>
      <w:szCs w:val="20"/>
    </w:rPr>
  </w:style>
  <w:style w:type="paragraph" w:customStyle="1" w:styleId="TtulodeDispositivoparagrafo">
    <w:name w:val="Título de Dispositivo (paragrafo)"/>
    <w:basedOn w:val="DefaultParagraph"/>
    <w:uiPriority w:val="1"/>
    <w:qFormat/>
    <w:pPr>
      <w:ind w:firstLine="0"/>
    </w:pPr>
  </w:style>
  <w:style w:type="character" w:customStyle="1" w:styleId="NotaReferenciada">
    <w:name w:val="Nota Referenciada"/>
    <w:basedOn w:val="DefaultCharacter"/>
    <w:uiPriority w:val="1"/>
    <w:qFormat/>
    <w:rPr>
      <w:rFonts w:ascii="Arial" w:hAnsi="Arial" w:cs="Arial"/>
      <w:sz w:val="20"/>
      <w:szCs w:val="20"/>
    </w:rPr>
  </w:style>
  <w:style w:type="paragraph" w:styleId="Textodenotadefim">
    <w:name w:val="endnote text"/>
    <w:link w:val="TextodenotadefimChar"/>
    <w:uiPriority w:val="99"/>
  </w:style>
  <w:style w:type="character" w:customStyle="1" w:styleId="TextodenotadefimChar">
    <w:name w:val="Texto de nota de fim Char"/>
    <w:link w:val="Textodenotadefim"/>
    <w:uiPriority w:val="99"/>
  </w:style>
  <w:style w:type="character" w:styleId="Refdenotadefim">
    <w:name w:val="endnote reference"/>
    <w:basedOn w:val="DefaultCharacter"/>
    <w:uiPriority w:val="99"/>
    <w:rPr>
      <w:rFonts w:ascii="Arial" w:hAnsi="Arial" w:cs="Arial"/>
      <w:sz w:val="20"/>
      <w:szCs w:val="20"/>
      <w:vertAlign w:val="superscript"/>
    </w:rPr>
  </w:style>
  <w:style w:type="character" w:styleId="Hyperlink">
    <w:name w:val="Hyperlink"/>
    <w:basedOn w:val="Fontepargpadro"/>
    <w:uiPriority w:val="99"/>
    <w:unhideWhenUsed/>
    <w:rsid w:val="0058738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5B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3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3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10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220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8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9069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6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292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Senado Federal</Company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Rafael Moraes Nicola</dc:creator>
  <dc:description/>
  <cp:lastModifiedBy>Tiago Alves Almeida</cp:lastModifiedBy>
  <cp:revision>5</cp:revision>
  <dcterms:created xsi:type="dcterms:W3CDTF">2024-10-30T10:51:00Z</dcterms:created>
  <dcterms:modified xsi:type="dcterms:W3CDTF">2024-10-30T14:10:00Z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Senado Federal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

<file path=original.xml><?xml version="1.0" encoding="utf-8"?>
<LexML xmlns:xsi="http://www.w3.org/2001/XMLSchema-instance" xmlns:xlink="http://www.w3.org/1999/xlink" xmlns="http://www.lexml.gov.br/1.0" xsi:schemaLocation="http://www.lexml.gov.br/1.0 ../xsd/lexml-br-rigido.xsd">
  <!-- xsi:schemaLocation="http://www.lexml.gov.br/1.0 http://projeto.lexml.gov.br/esquemas/lexml-br-rigido.xsd" > -->
  <Metadado>
    <Identificacao URN="urn:lex:br:federal:decreto:2024-05-06;12015"/>
  </Metadado>
  <ProjetoNorma>
    <Norma>
      <ParteInicial>
        <Epigrafe id="epigrafe">DECRETO Nº 12.015, DE 6 DE MAIO DE 2024</Epigrafe>
        <Ementa id="ementa">Convoca a 6ª Conferência Nacional dos Direitos da Pessoa Idosa. 
</Ementa>
        <Preambulo id="preambulo">
          <p>
 O PRESIDENTE DA REPÚBLICA, no uso da atribuição que lhe confere o art. 84, caput, inciso VI, alínea "a", da Constituição, 
 </p>
          <p>
 DECRETA: 
 </p>
        </Preambulo>
      </ParteInicial>
      <Articulacao>
        <Artigo id="art1">
          <Rotulo>Art. 1º</Rotulo>
          <Caput id="art1_cpt">
            <p>
 Fica convocada a 6ª Conferência Nacional dos Direitos da Pessoa Idosa, a ser realizada no período de 19 a 22 de agosto de 2025, em Brasília, Distrito Federal, com o tema "Envelhecimento multicultural e democracia: urgência por equidade, direitos e participação". 
 </p>
          </Caput>
        </Artigo>
        <Artigo id="art2">
          <Rotulo>Art. 2º</Rotulo>
          <Caput id="art2_cpt">
            <p>
 A 6ª Conferência Nacional dos Direitos da Pessoa Idosa será coordenada pela Presidência do Conselho Nacional dos Direitos da Pessoa Idosa e presidida pelo Ministro de Estado dos Direitos Humanos e da Cidadania. 
 </p>
          </Caput>
          <Paragrafo id="art2_par1u">
            <Rotulo>Parágrafo único.</Rotulo>
            <p>
 Em suas ausências e seus impedimentos, o Ministro de Estado dos Direitos Humanos e da Cidadania será substituído pelo Secretário Nacional dos Direitos da Pessoa Idosa do Ministério dos Direitos Humanos e da Cidadania. 
 </p>
          </Paragrafo>
        </Artigo>
        <Artigo id="art3">
          <Rotulo>Art. 3º</Rotulo>
          <Caput id="art3_cpt">
            <p>
 São objetivos da 6ª Conferência Nacional dos Direitos da Pessoa Idosa: 
 </p>
            <Inciso id="art3_cpt_inc1">
              <Rotulo>I –</Rotulo>
              <p>
 promover a participação social para a proposição de ações que visem a superação de barreiras ao direito de envelhecer e à velhice digna e saudável; 
 </p>
            </Inciso>
            <Inciso id="art3_cpt_inc2">
              <Rotulo>II –</Rotulo>
              <p>
 identificar os desafios do envelhecimento plural no País, tanto nos instrumentos legais quanto nas práticas exercidas, para a promoção e defesa dos direitos da pessoa idosa; e 
 </p>
            </Inciso>
            <Inciso id="art3_cpt_inc3">
              <Rotulo>III –</Rotulo>
              <p>
 propor ações de equidade para a defesa, a promoção e a proteção dos direitos e da cidadania de pessoas idosas, a partir da articulação interfederativa. 
 </p>
            </Inciso>
          </Caput>
        </Artigo>
        <Artigo id="art4">
          <Rotulo>Art. 4º</Rotulo>
          <Caput id="art4_cpt">
            <p>
 O regimento interno da 6ª Conferência Nacional dos Direitos da Pessoa Idosa será elaborado por comissão designada em ato do Conselho Nacional dos Direitos da Pessoa Idosa e aprovado pela Secretaria Nacional dos Direitos da Pessoa Idosa do Ministério dos Direitos Humanos e da Cidadania. 
 </p>
          </Caput>
          <Paragrafo id="art4_par1">
            <Rotulo>§ 1º</Rotulo>
            <p>
 O regimento interno da 6ª Conferência Nacional dos Direitos da Pessoa Idosa disporá sobre: 
 </p>
            <Inciso id="art4_par1_inc1">
              <Rotulo>I –</Rotulo>
              <p>
 a sua organização e o seu funcionamento; e 
 </p>
            </Inciso>
            <Inciso id="art4_par1_inc2">
              <Rotulo>II –</Rotulo>
              <p>
 as suas etapas preparatórias, incluídas as conferências municipais, estaduais, distrital e livres. 
 </p>
            </Inciso>
          </Paragrafo>
          <Paragrafo id="art4_par2">
            <Rotulo>§ 2º</Rotulo>
            <p>
 As conferências serão realizadas: 
 </p>
            <Inciso id="art4_par2_inc1">
              <Rotulo>I –</Rotulo>
              <p>
 municipais - até março de 2025; 
 </p>
            </Inciso>
            <Inciso id="art4_par2_inc2">
              <Rotulo>II –</Rotulo>
              <p>
 estaduais e distrital - até junho de 2025; e 
 </p>
            </Inciso>
            <Inciso id="art4_par2_inc3">
              <Rotulo>III –</Rotulo>
              <p>
 livres - até junho de 2025. 
 </p>
            </Inciso>
          </Paragrafo>
          <Paragrafo id="art4_par3">
            <Rotulo>§ 3º</Rotulo>
            <p>
 As conferências livres são mecanismos que possibilitam a ampliação da participação social no debate sobre as propostas da 6ª Conferência Nacional dos Direitos da Pessoa Idosa e não substituem a realização das conferências municipais, estaduais e distrital e das demais etapas preparatórias. 
 </p>
          </Paragrafo>
        </Artigo>
        <Artigo id="art5">
          <Rotulo>Art. 5º</Rotulo>
          <Caput id="art5_cpt">
            <p>
 O Ministério dos Direitos Humanos e da Cidadania, por meio da Secretaria Nacional dos Direitos da Pessoa Idosa e do Conselho Nacional dos Direitos da Pessoa Idosa, dará publicidade aos resultados da 6ª Conferência Nacional dos Direitos da Pessoa Idosa. 
 </p>
          </Caput>
        </Artigo>
        <Artigo id="art6">
          <Rotulo>Art. 6º</Rotulo>
          <Caput id="art6_cpt">
            <p>
 Ato do Ministro de Estado dos Direitos Humanos e da Cidadania alterará, quando necessário, o período de realização das conferências nacional, estaduais, distrital, municipais e livres. 
 </p>
          </Caput>
        </Artigo>
        <Artigo id="art7">
          <Rotulo>Art. 7º</Rotulo>
          <Caput id="art7_cpt">
            <p>
 As despesas com a organização e a realização da 6ª Conferência Nacional dos Direitos da Pessoa Idosa correrão à conta de recursos orçamentários do Fundo Nacional do Idoso e das dotações orçamentárias consignadas ao Ministério dos Direitos Humanos e da Cidadania. 
 </p>
          </Caput>
        </Artigo>
        <Artigo id="art8">
          <Rotulo>Art. 8º</Rotulo>
          <Caput id="art8_cpt">
            <p>
 Este Decreto entra em vigor na data de sua publicação.
 </p>
          </Caput>
        </Artigo>
      </Articulacao>
      <ParteFinal>
        <LocalDataFecho id="localDataFecho">
          <lx:p xmlns:lx="http://www.lexml.gov.br/1.0">Brasília, 6 de maio de 2024; 203º da Independência e 136º da República.</lx:p>
        </LocalDataFecho>
        <AssinaturaTexto id="assinaturaTexto">
          <lx:p xmlns:lx="http://www.lexml.gov.br/1.0">LUIZ INÁCIO LULA DA SILVA</lx:p>
          <lx:p xmlns:lx="http://www.lexml.gov.br/1.0">Rita Cristina de Oliveira</lx:p>
        </AssinaturaTexto>
      </ParteFinal>
    </Norma>
  </ProjetoNorma>
</LexML>
</file>