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9TtuloemendaCLG"/>
        <w:bidi w:val="0"/>
        <w:spacing w:before="480" w:after="360"/>
        <w:ind w:left="0" w:right="0" w:hanging="0"/>
        <w:jc w:val="left"/>
        <w:rPr/>
      </w:pPr>
      <w:r>
        <w:rPr>
          <w:sz w:val="32"/>
          <w:szCs w:val="32"/>
        </w:rPr>
        <w:t>PROJETO DE LEI DO SENADO Nº       , DE 2009 – COMPLEMENTAR</w:t>
      </w:r>
    </w:p>
    <w:p>
      <w:pPr>
        <w:pStyle w:val="06PargrafodetextoCLG"/>
        <w:bidi w:val="0"/>
        <w:ind w:left="378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06PargrafodetextoCLG"/>
        <w:bidi w:val="0"/>
        <w:ind w:left="3780" w:right="0" w:hanging="0"/>
        <w:jc w:val="left"/>
        <w:rPr/>
      </w:pPr>
      <w:r>
        <w:rPr>
          <w:sz w:val="24"/>
          <w:szCs w:val="24"/>
        </w:rPr>
        <w:t>Altera a Lei Complementar nº 63, de 11 de janeiro de 1990, para modificar o prazo de publicação pelo Estado do valor adicionado para cálculo do Índice de Participação dos Municípios e a forma de cálculo do valor adicionado dos Municípios nas operações relativas à circulação de mercadorias e nas prestações de serviços, realizadas em seus territórios por microempresas e empresas de pequeno porte, e a Lei Complementar nº 123, de 14 de dezembro de 2006, para facilitar o processo de inscrição do microempreendedor individual, e dá outras providências.</w:t>
      </w:r>
    </w:p>
    <w:p>
      <w:pPr>
        <w:pStyle w:val="Normal"/>
        <w:bidi w:val="0"/>
        <w:ind w:left="0" w:right="0" w:firstLine="14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04RelatoriaCLG"/>
        <w:bidi w:val="0"/>
        <w:ind w:left="1440" w:right="0" w:hanging="0"/>
        <w:jc w:val="left"/>
        <w:rPr/>
      </w:pPr>
      <w:r>
        <w:rPr/>
        <w:t>O CONGRESSO NACIONAL decreta:</w:t>
      </w:r>
    </w:p>
    <w:p>
      <w:pPr>
        <w:pStyle w:val="NormalWeb"/>
        <w:bidi w:val="0"/>
        <w:spacing w:before="0" w:after="0"/>
        <w:ind w:left="0" w:right="0" w:firstLine="144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Art. 1º </w:t>
      </w:r>
      <w:r>
        <w:rPr>
          <w:rFonts w:cs="Times New Roman" w:ascii="Times New Roman" w:hAnsi="Times New Roman"/>
          <w:sz w:val="28"/>
          <w:szCs w:val="28"/>
        </w:rPr>
        <w:t xml:space="preserve">O art. 3º da Lei Complementar nº 63, de 11 de janeiro de 1990, passa a vigorar com a seguinte redação: </w:t>
      </w:r>
    </w:p>
    <w:p>
      <w:pPr>
        <w:pStyle w:val="NormalWeb"/>
        <w:bidi w:val="0"/>
        <w:spacing w:before="0" w:after="0"/>
        <w:ind w:left="1843" w:right="0" w:firstLine="539"/>
        <w:jc w:val="both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NormalWeb"/>
        <w:bidi w:val="0"/>
        <w:spacing w:before="0" w:after="0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3º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.......................................................................................</w:t>
      </w:r>
    </w:p>
    <w:p>
      <w:pPr>
        <w:pStyle w:val="NormalWeb"/>
        <w:bidi w:val="0"/>
        <w:spacing w:before="0" w:after="0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="0" w:after="0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6º Para efeito de entrega das parcelas de um determinado ano, o Estado fará publicar, no seu órgão oficial, até o dia 15 de agosto do ano da apuração, o valor adicionado em cada Município, além dos índices percentuais referidos nos §§ 3º e 4º deste artigo.</w:t>
      </w:r>
    </w:p>
    <w:p>
      <w:pPr>
        <w:pStyle w:val="NormalWeb"/>
        <w:bidi w:val="0"/>
        <w:spacing w:before="0" w:after="0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14. Com relação às empresas optantes pelo regime de que trata o art. 12 da Lei Complementar nº 123, de 14 de dezembro de 2006, para o cálculo do valor adicionado, na forma prevista no inciso II do § 1º deste artigo: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 – considerar-se-á, como receita bruta: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a) os valores totais do produto da venda de bens e serviços nas operações de conta própria, do preço dos serviços prestados e do resultado nas operações em conta alheia, não incluídas as vendas canceladas e os descontos incondicionais concedidos;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b) os valores totais das transferências de bens e serviços destinados a estabelecimentos localizados em outros Municípios;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 – a receita bruta será atribuída ao Município onde se localizava o estabelecimento emitente no momento em que se realizaram suas operações, exceto no caso de prestação de serviços de transporte intermunicipal e interestadual, hipótese em que será atribuída para o Município onde se tenham iniciado os serviços;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III – não serão considerados quaisquer outros fenômenos, prestações ou operações, não podendo ser exigidas informações adicionais além da receita bruta, que deverá ser informada tão-somente por meio da declaração prevista no art. 25 da Lei Complementar nº 123, de 2006, salvo na hipótese de disposição expressa do Comitê Gestor do Simples Nacional.</w:t>
      </w:r>
    </w:p>
    <w:p>
      <w:pPr>
        <w:pStyle w:val="NormalWeb"/>
        <w:bidi w:val="0"/>
        <w:spacing w:before="0" w:after="0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15. Será considerado, para efeito do disposto nas alíneas </w:t>
      </w:r>
      <w:r>
        <w:rPr>
          <w:rFonts w:cs="Times New Roman" w:ascii="Times New Roman" w:hAnsi="Times New Roman"/>
          <w:i/>
          <w:szCs w:val="20"/>
        </w:rPr>
        <w:t>a</w:t>
      </w:r>
      <w:r>
        <w:rPr>
          <w:rFonts w:cs="Times New Roman" w:ascii="Times New Roman" w:hAnsi="Times New Roman"/>
          <w:szCs w:val="20"/>
        </w:rPr>
        <w:t xml:space="preserve"> e </w:t>
      </w:r>
      <w:r>
        <w:rPr>
          <w:rFonts w:cs="Times New Roman" w:ascii="Times New Roman" w:hAnsi="Times New Roman"/>
          <w:i/>
          <w:szCs w:val="20"/>
        </w:rPr>
        <w:t>b</w:t>
      </w:r>
      <w:r>
        <w:rPr>
          <w:rFonts w:cs="Times New Roman" w:ascii="Times New Roman" w:hAnsi="Times New Roman"/>
          <w:szCs w:val="20"/>
        </w:rPr>
        <w:t xml:space="preserve"> do inciso I do § 14 deste artigo, o valor total da receita bruta que se constitua fato gerador do imposto, mesmo quando objeto de imunidade, isenção ou redução na base de cálculo.” (NR)</w:t>
      </w:r>
    </w:p>
    <w:p>
      <w:pPr>
        <w:pStyle w:val="Normal"/>
        <w:bidi w:val="0"/>
        <w:ind w:left="0" w:right="0" w:firstLine="14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ind w:left="0" w:right="0" w:firstLine="1440"/>
        <w:jc w:val="both"/>
        <w:rPr/>
      </w:pPr>
      <w:r>
        <w:rPr>
          <w:b/>
          <w:sz w:val="28"/>
          <w:szCs w:val="28"/>
        </w:rPr>
        <w:t xml:space="preserve">Art. 2º </w:t>
      </w:r>
      <w:r>
        <w:rPr>
          <w:sz w:val="28"/>
          <w:szCs w:val="28"/>
        </w:rPr>
        <w:t>A Lei Complementar nº 123, de 14 de dezembro de 2006, passa a vigorar com as seguintes alterações: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 xml:space="preserve">Art. 2º </w:t>
      </w:r>
      <w:r>
        <w:rPr>
          <w:rFonts w:cs="Times New Roman" w:ascii="Times New Roman" w:hAnsi="Times New Roman"/>
          <w:szCs w:val="20"/>
        </w:rPr>
        <w:t>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 xml:space="preserve">II – Fórum Permanente das Microempresas e Empresas de Pequeno Porte, com a participação dos órgãos federais competentes e das entidades vinculadas ao setor, para tratar dos demais aspectos, ressalvado o disposto nos incisos III, IV e V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artigo;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IV – Comitê Gestor da Política Nacional de Inovação e Competitividade, vinculado ao Ministério de Ciência e Tecnologia, composto por representantes da União, dos Estados e do Distrito Federal e dos Municípios, e Instituições de Ensino, Fomento, Pesquisa, Apoio e Representação Empresarial, para regulamentar os dispositivos legais relativos ao Capítulo X desta Lei Complementar e tratar das ações e desdobramentos relativos à tecnologia e à inovação, na forma regulamentada pelo Poder Executivo Federal;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V – Comitê Gestor do Uso de Poder de Compra Governamental e de Acesso aos Mercados, vinculado ao Ministério do Planejamento, Orçamento e Gestão, composto por representantes da União, dos Estados e do Distrito Federal e dos Municípios, e Instituições de Ensino, Fomento, Pesquisa, Apoio e Representação Empresarial, para regulamentar os dispositivos legais relativos ao Capítulo V desta Lei Complementar e tratar das ações e desdobramentos relativos ao uso do poder de compra governamental e do acesso aos mercados, na forma regulamentada pelo Poder Executivo Federal.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 xml:space="preserve">§ 1º Os Comitês de que tratam os incisos I, III, IV e V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serão presididos e coordenados por representantes da União.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 xml:space="preserve">§ 4º Os Comitês de que tratam os incisos I, III, IV e V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elaborarão seus regimentos internos mediante resolução. 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 xml:space="preserve">§ 8º Os membros dos Comitês de que tratam os incisos I, III, IV e V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serão designados, respectivamente, pelos Ministros de Estado da Fazenda, do Desenvolvimento, Indústria e Comércio Exterior, da Ciência e Tecnologia e do Planejamento, Orçamento e Gestão, mediante indicação dos órgãos e entidades vinculados. </w:t>
      </w:r>
    </w:p>
    <w:p>
      <w:pPr>
        <w:pStyle w:val="NormalWeb"/>
        <w:bidi w:val="0"/>
        <w:spacing w:beforeAutospacing="1" w:afterAutospacing="1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 xml:space="preserve">§ 9º Os representantes dos Estados e do Distrito Federal no Comitê referido no inciso IV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serão indicados pelo Conselho Nacional de Secretários Estaduais Para Assuntos de Ciência, Tecnologia e Inovação e os dos Municípios serão indicados pelas entidades de representação nacional dos Municípios brasileiros ou do Fórum Nacional de Secretários Municipais da Área de Ciência e Tecnologia.</w:t>
      </w:r>
    </w:p>
    <w:p>
      <w:pPr>
        <w:pStyle w:val="NormalWeb"/>
        <w:bidi w:val="0"/>
        <w:spacing w:before="0" w:after="0"/>
        <w:ind w:left="1843" w:right="0" w:firstLine="567"/>
        <w:jc w:val="both"/>
        <w:rPr/>
      </w:pPr>
      <w:r>
        <w:rPr>
          <w:rFonts w:cs="Times New Roman" w:ascii="Times New Roman" w:hAnsi="Times New Roman"/>
          <w:szCs w:val="20"/>
        </w:rPr>
        <w:t xml:space="preserve">§ 10. Os representantes dos Estados e do Distrito Federal no Comitê referido no inciso V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serão indicados pelo Conselho Nacional de Secretários Estaduais de Planejamento e os dos Municípios serão indicados pelas entidades de representação nacional dos Municípios brasileiros.”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4º</w:t>
      </w:r>
      <w:r>
        <w:rPr>
          <w:rFonts w:cs="Times New Roman" w:ascii="Times New Roman" w:hAnsi="Times New Roman"/>
          <w:szCs w:val="20"/>
        </w:rPr>
        <w:t xml:space="preserve">  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1º O processo de registro do Microempreendedor Individual de que trata o art. 18-A desta Lei Complementar deverá ter trâmite especial, opcional para o empreendedor na forma a ser disciplinada pelo Comitê para Gestão da Rede Nacional para a Simplificação do Registro e da Legalização de Empresas e Negócios, observado o seguinte: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 – poderá ser dispensado o registro do comércio ou prevista sua obtenção por meio eletrônico, podendo-se dispensar também o uso da firma, com a respectiva assinatura autógrafa, o capital, requerimentos, demais assinaturas, informações relativas à nacionalidade, estado civil e regime de bens, bem como remessa de documentos, na forma estabelecida pelo Comitê para Gestão da Rede Nacional para a Simplificação do Registro e da Legalização de Empresas e Negócios;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 – as informações do Cadastro Nacional da Pessoa Jurídica (CNPJ) deverão ser disponibilizadas para o Cadastro Nacional de Empresas;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III – o cadastro fiscal estadual ou municipal poderá ser dispensado ou ter sua exigência postergada, sem prejuízo da possibilidade de emissão de documentos fiscais, quando necessária à atividade do MEI, vedada, em qualquer hipótese, a imposição de custos pela autorização para emissão, inclusive na modalidade avulsa.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2º Na hipótese de dispensa do registro do comércio, prevista no inciso I do § 1º deste artigo: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 - a existência legal do Microempreendedor Individual começa no ato de inscrição no CNPJ;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 – as informações do CNPJ deverão ser disponibilizadas para o Cadastro Nacional de Empresas, para subsidiar políticas na área de registro mercantil.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16.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1º-A. A opção pelo Simples Nacional implica aceitação de sistema de comunicação eletrônica, destinado, entre outras finalidades, a: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 - cientificar o sujeito passivo de quaisquer tipos de atos administrativos;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 - encaminhar notificações e intimações;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III - expedir avisos em geral.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1º-B. O sistema de comunicação eletrônica de que trata o § 1º-A deste artigo será regulamentado pelo Comitê Gestor do Simples Nacional, observando-se o seguinte: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 – as comunicações serão feitas, por meio eletrônico, em portal próprio, dispensando-se a sua publicação no Diário Oficial e o envio por via postal;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II – a comunicação feita na forma prevista no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parágrafo será considerada pessoal para todos os efeitos legais;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III – considerar-se-á realizada a comunicação no dia em que o sujeito passivo efetivar a consulta eletrônica ao teor da comunicação;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IV – na hipótese do inciso III deste parágrafo, nos casos em que a consulta se dê em dia não útil, a comunicação será considerada como realizada no primeiro dia útil seguinte.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1º-C. A consulta referida nos incisos III e IV do § 1º-B deste artigo deverá ser feita em até 30 (trinta) dias contados da data da disponibilização da comunicação no portal a que se refere o inciso I do § 1º B, ou em prazo superior estipulado pelo Comitê Gestor do Simples Nacional, sob pena de ser considerada automaticamente realizada na data do término desse prazo.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1º-D. No interesse da Administração Pública, a comunicação poderá ser realizada mediante outras formas previstas na legislação.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17.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XVI – com ausência ou irregularidade relativa ao cadastro fiscal federal, municipal ou estadual, quando exigível.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a) 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4º Na hipótese do inciso XVI do </w:t>
      </w:r>
      <w:r>
        <w:rPr>
          <w:rFonts w:cs="Times New Roman" w:ascii="Times New Roman" w:hAnsi="Times New Roman"/>
          <w:i/>
          <w:szCs w:val="20"/>
        </w:rPr>
        <w:t xml:space="preserve">caput </w:t>
      </w:r>
      <w:r>
        <w:rPr>
          <w:rFonts w:cs="Times New Roman" w:ascii="Times New Roman" w:hAnsi="Times New Roman"/>
          <w:szCs w:val="20"/>
        </w:rPr>
        <w:t>deste artigo, deverá ser observado, para o Microempreendedor Individual, o disposto no inciso III do § 1º do art. 4º desta Lei Complementar.”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 “</w:t>
      </w:r>
      <w:r>
        <w:rPr>
          <w:rFonts w:cs="Times New Roman" w:ascii="Times New Roman" w:hAnsi="Times New Roman"/>
          <w:b/>
          <w:szCs w:val="20"/>
        </w:rPr>
        <w:t>Art. 21.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6º Compete ao Comitê Gestor do Simples Nacional fixar critérios e procedimentos para parcelamento dos recolhimentos em atraso dos débitos tributários devidos no âmbito do Simples Nacional, observado o disposto no § 3º deste artigo e no art. 35 desta Lei Complementar.”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b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29.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6º Nas hipóteses de exclusão previstas no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artigo, a notificação: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 – será efetuada pelo ente federativo que promoveu a exclusão;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II – poderá ser feita por meio eletrônico, observado o disposto nos §§ 1º-A a 1º-D do art. 16 desta Lei Complementar.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8º A notificação de que trata o § 6º deste artigo aplica-se ao indeferimento da opção pelo Simples Nacional.”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31.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2º Na hipótese dos incisos V e XVI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do art. 17 desta Lei Complementar, será permitida a permanência da pessoa jurídica como optante pelo Simples Nacional mediante a comprovação da regularização do débito ou do cadastro fiscal no prazo de até 30 (trinta) dias contado a partir da ciência da comunicação da exclusão.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3º O Comitê Gestor do Simples Nacional regulamentará os procedimentos relativos ao impedimento de recolher o ICMS e o ISS na forma do Simples Nacional, em face da ultrapassagem dos limites estabelecidos na forma dos incisos I ou II do art. 19 e do art. 20 desta Lei Complementar;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b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32.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3º Aplica-se o disposto no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à empresa impedida de recolher o ICMS e o ISS na forma do Simples Nacional, em face da ultrapassagem dos limites a que se referem os incisos I ou II do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do art. 19 desta Lei Complementar, relativamente ao estabelecimento localizado na unidade da federação que os houver adotado.”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33.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1º As Secretarias de Fazenda ou Finanças dos Estados poderão celebrar convênio com os Municípios de sua jurisdição para atribuir a estes a fiscalização, apenas na hipótese de ocorrência tão-somente de operações e prestações incluídos na competência tributária estadual.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1º-A. A fiscalização de que trata o </w:t>
      </w:r>
      <w:r>
        <w:rPr>
          <w:rFonts w:cs="Times New Roman" w:ascii="Times New Roman" w:hAnsi="Times New Roman"/>
          <w:i/>
          <w:szCs w:val="20"/>
        </w:rPr>
        <w:t xml:space="preserve">caput </w:t>
      </w:r>
      <w:r>
        <w:rPr>
          <w:rFonts w:cs="Times New Roman" w:ascii="Times New Roman" w:hAnsi="Times New Roman"/>
          <w:szCs w:val="20"/>
        </w:rPr>
        <w:t>deste artigo, após iniciada, abrangerá todos os estabelecimentos da microempresa ou da empresa de pequeno porte, independentemente da atividade por eles exercida.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1º-B. As autoridades fiscais de que trata o </w:t>
      </w:r>
      <w:r>
        <w:rPr>
          <w:rFonts w:cs="Times New Roman" w:ascii="Times New Roman" w:hAnsi="Times New Roman"/>
          <w:i/>
          <w:szCs w:val="20"/>
        </w:rPr>
        <w:t>caput</w:t>
      </w:r>
      <w:r>
        <w:rPr>
          <w:rFonts w:cs="Times New Roman" w:ascii="Times New Roman" w:hAnsi="Times New Roman"/>
          <w:szCs w:val="20"/>
        </w:rPr>
        <w:t xml:space="preserve"> deste artigo têm competência para efetuar o lançamento de todos os tributos previstos nos incisos I a VIII do art. 13 desta Lei Complementar, independentemente do ente federado instituidor, não se aplicando, para o Simples Nacional, os arts. 6º e 7º da Lei nº 5.172, de 25 de outubro de 1966 - Código Tributário Nacional - CTN.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34.</w:t>
      </w:r>
      <w:r>
        <w:rPr>
          <w:rFonts w:cs="Times New Roman" w:ascii="Times New Roman" w:hAnsi="Times New Roman"/>
          <w:szCs w:val="20"/>
        </w:rPr>
        <w:t xml:space="preserve"> Aplicam-se à microempresa ou à empresa de pequeno porte optante pelo Simples Nacional todas as presunções de omissão de receita existentes na legislação do imposto de renda.”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39</w:t>
      </w:r>
      <w:r>
        <w:rPr>
          <w:rFonts w:cs="Times New Roman" w:ascii="Times New Roman" w:hAnsi="Times New Roman"/>
          <w:szCs w:val="20"/>
        </w:rPr>
        <w:t>. O contencioso administrativo relativo ao Simples Nacional será de competência do órgão julgador integrante da estrutura administrativa do ente federativo que efetuar o lançamento, o indeferimento da opção ou a exclusão de ofício, observados os dispositivos legais atinentes aos processos administrativos fiscais desse ente, ressalvado o disposto nos §§ 4º a 6º deste artigo.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4º A intimação dos atos do contencioso administrativo observará o disposto nos §§ 1º-A a 1º-D do art. 16 desta Lei Complementar.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 xml:space="preserve">§ 5º A impugnação relativa ao indeferimento da opção ou à exclusão poderá ter procedimento diferenciado, estabelecido pela respectiva administração tributária, sem prejuízo do direito de julgamento posterior, mediante requerimento do contribuinte, pelo órgão de que trata o </w:t>
      </w:r>
      <w:r>
        <w:rPr>
          <w:rFonts w:cs="Times New Roman" w:ascii="Times New Roman" w:hAnsi="Times New Roman"/>
          <w:i/>
          <w:szCs w:val="20"/>
        </w:rPr>
        <w:t xml:space="preserve">caput </w:t>
      </w:r>
      <w:r>
        <w:rPr>
          <w:rFonts w:cs="Times New Roman" w:ascii="Times New Roman" w:hAnsi="Times New Roman"/>
          <w:szCs w:val="20"/>
        </w:rPr>
        <w:t>deste artigo.</w:t>
      </w:r>
    </w:p>
    <w:p>
      <w:pPr>
        <w:pStyle w:val="NormalWeb"/>
        <w:bidi w:val="0"/>
        <w:spacing w:before="0" w:after="0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6º O Comitê Gestor do Simples Nacional regulamentará o disposto neste artigo, podendo ser estabelecidos procedimentos e prazos unificados relativos ao contencioso administrativo.”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56.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§ 7º O Comitê Gestor do Simples Nacional regulamentará o disposto neste artigo até 31 de julho de 2010.” (NR)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“</w:t>
      </w:r>
      <w:r>
        <w:rPr>
          <w:rFonts w:cs="Times New Roman" w:ascii="Times New Roman" w:hAnsi="Times New Roman"/>
          <w:b/>
          <w:szCs w:val="20"/>
        </w:rPr>
        <w:t>Art. 85-A.</w:t>
      </w:r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bookmarkStart w:id="0" w:name="__DdeLink__3278_2577103482"/>
      <w:r>
        <w:rPr>
          <w:rFonts w:cs="Times New Roman" w:ascii="Times New Roman" w:hAnsi="Times New Roman"/>
          <w:szCs w:val="20"/>
        </w:rPr>
        <w:t>§ 2º</w:t>
      </w:r>
      <w:bookmarkEnd w:id="0"/>
      <w:r>
        <w:rPr>
          <w:rFonts w:cs="Times New Roman" w:ascii="Times New Roman" w:hAnsi="Times New Roman"/>
          <w:szCs w:val="20"/>
        </w:rPr>
        <w:t xml:space="preserve"> .........................................................................................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...................................................................................................</w:t>
      </w:r>
    </w:p>
    <w:p>
      <w:pPr>
        <w:pStyle w:val="Normal"/>
        <w:bidi w:val="0"/>
        <w:ind w:left="1800" w:right="0" w:firstLine="540"/>
        <w:jc w:val="left"/>
        <w:rPr/>
      </w:pPr>
      <w:r>
        <w:rPr/>
        <w:t>III – possuir formação ou experiência compatível com a função a ser exercida.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Cs w:val="20"/>
        </w:rPr>
        <w:t>.........................................................................................” (NR)</w:t>
      </w:r>
    </w:p>
    <w:p>
      <w:pPr>
        <w:pStyle w:val="07CitaolegalCLG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ind w:left="0" w:right="0" w:firstLine="1440"/>
        <w:jc w:val="both"/>
        <w:rPr/>
      </w:pPr>
      <w:r>
        <w:rPr>
          <w:b/>
          <w:sz w:val="28"/>
          <w:szCs w:val="28"/>
        </w:rPr>
        <w:t>Art. 3º</w:t>
      </w:r>
      <w:r>
        <w:rPr>
          <w:sz w:val="28"/>
          <w:szCs w:val="28"/>
        </w:rPr>
        <w:t xml:space="preserve"> Fica revogado o § 7º do art. 29 da Lei Complementar nº 123, de 14 de dezembro de 2006.</w:t>
      </w:r>
    </w:p>
    <w:p>
      <w:pPr>
        <w:pStyle w:val="Normal"/>
        <w:bidi w:val="0"/>
        <w:ind w:left="0" w:right="0" w:firstLine="14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firstLine="1440"/>
        <w:jc w:val="both"/>
        <w:rPr/>
      </w:pPr>
      <w:r>
        <w:rPr>
          <w:b/>
          <w:sz w:val="28"/>
          <w:szCs w:val="28"/>
        </w:rPr>
        <w:t>Art. 4º</w:t>
      </w:r>
      <w:r>
        <w:rPr>
          <w:sz w:val="28"/>
          <w:szCs w:val="28"/>
        </w:rPr>
        <w:t xml:space="preserve"> Esta Lei Complementar entra em vigor na data de sua publicação, produzindo efeitos a partir do primeiro dia do segundo mês seguinte ao de sua publicação.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 w:val="28"/>
          <w:szCs w:val="20"/>
        </w:rPr>
        <w:t xml:space="preserve">§ </w:t>
      </w:r>
      <w:r>
        <w:rPr>
          <w:rFonts w:cs="Times New Roman" w:ascii="Times New Roman" w:hAnsi="Times New Roman"/>
          <w:sz w:val="28"/>
          <w:szCs w:val="20"/>
        </w:rPr>
        <w:t>1</w:t>
      </w:r>
      <w:r>
        <w:rPr>
          <w:rFonts w:cs="Times New Roman" w:ascii="Times New Roman" w:hAnsi="Times New Roman"/>
          <w:sz w:val="28"/>
          <w:szCs w:val="20"/>
        </w:rPr>
        <w:t xml:space="preserve">º  </w:t>
      </w:r>
      <w:r>
        <w:rPr>
          <w:rFonts w:cs="Times New Roman" w:ascii="Times New Roman" w:hAnsi="Times New Roman"/>
          <w:sz w:val="28"/>
          <w:szCs w:val="20"/>
        </w:rPr>
        <w:t>Isso é um teste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 w:val="28"/>
          <w:szCs w:val="20"/>
        </w:rPr>
        <w:t>I – Isso é outro teste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 w:val="28"/>
          <w:szCs w:val="20"/>
        </w:rPr>
        <w:t>II – Isso é mais um teste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 w:val="28"/>
          <w:szCs w:val="20"/>
        </w:rPr>
        <w:t>II – Ops, duplicou</w:t>
      </w:r>
    </w:p>
    <w:p>
      <w:pPr>
        <w:pStyle w:val="NormalWeb"/>
        <w:bidi w:val="0"/>
        <w:spacing w:beforeAutospacing="1" w:afterAutospacing="1"/>
        <w:ind w:left="1843" w:right="0" w:firstLine="539"/>
        <w:jc w:val="both"/>
        <w:rPr/>
      </w:pPr>
      <w:r>
        <w:rPr>
          <w:rFonts w:cs="Times New Roman" w:ascii="Times New Roman" w:hAnsi="Times New Roman"/>
          <w:sz w:val="28"/>
          <w:szCs w:val="20"/>
        </w:rPr>
        <w:t>III – Aqui está outro teste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/>
      </w:pPr>
      <w:r>
        <w:rPr>
          <w:b/>
          <w:sz w:val="28"/>
          <w:szCs w:val="28"/>
        </w:rPr>
        <w:t>JUSTIFICAÇÃO</w:t>
      </w:r>
    </w:p>
    <w:p>
      <w:pPr>
        <w:pStyle w:val="Normal"/>
        <w:bidi w:val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Em julho de 2007, passou a viger o novo Regime Especial Unificado de Arrecadação de Tributos e Contribuições devidos pelas Microempresas e Empresas de Pequeno Porte, também conhecido como Simples Nacional — verdadeira revolução tributária que facilitou a vida de milhões de micro e pequenos empresários. Por envolver aspectos tributários e procedimentais de todos os entes federativos — União, estados e municípios —, a legislação aplicável, contida na Lei Complementar (LCP) nº 123, de 14 de dezembro de 2006, é bastante complexa. Naturalmente, após dois anos e meio de experiência, algumas inconsistências vieram à tona e alguns ajustes se tornaram necessários. É basicamente disso que trata este Projeto, além de propor aperfeiçoamentos à LCP nº 63, de 11 de janeiro de 1990, também relacionados a micro e pequenas empresas.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Inicialmente, as alterações propostas para o art. 4º da LCP nº 123, de 2006, tencionam facilitar ainda mais o processo de inscrição do microempreendedor individual, estabelecendo que o registro do comércio poderá ser dispensado, ou até mesmo feito eletronicamente, sem assinaturas e documentos. A inovação atende também ao disposto no art. 970 da Lei nº 10.406, de 10 de janeiro de 2002 (Código Civil).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O acréscimo do inciso XVI ao art. 17 e a modificação do § 2º do art. 31 proporcionarão maior clareza à exigência da regularidade da inscrição fiscal como condição para ingresso no Simples Nacional, bem como maior prazo para que a empresa regularize a pendência. Não o fazendo, ela será excluída do regime a partir do ano-calendário seguinte.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As modificações nos arts. 16, 29 e 39 dizem respeito à notificação eletrônica. Melhor dizendo, às regras para que a empresa optante possa ser notificada por meio de aplicativo na Internet, já que todas elas precisam acessar a rede mundial de computadores mensalmente para fazer o cálculo dos valores devidos e gerar as respectivas guias.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Adicionalmente, o § 5º do art. 39 prevê que a impugnação ao termo de indeferimento da opção ou de exclusão do regime possa ter tratamento mais célere, sem a necessidade de julgamento colegiado.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 xml:space="preserve">As alterações no § 3º do art. 31 e § 3º do art. 32 corrigem a questão da ultrapassagem dos sublimites estaduais. A redação atual a considera como exclusão do regime, quando, na verdade, disso não se trata, mas sim de impedimento ao recolhimento do ICMS e do ISS no Simples Nacional. 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As modificações no art. 33 visam a ratificar a competência dos entes federativos para lançar todos os tributos abrangidos pelo Simples Nacional, quando uma ação fiscal se iniciar.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As alterações no art. 34 objetivam determinar que somente são válidas no Simples Nacional as presunções de omissão de receita existentes na legislação do imposto de renda, e não todas as existentes nas legislações de todos os entes federativos.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 xml:space="preserve">Ainda na LCP nº 123, de 2006, com a modificação perpetrada ao art. 2°, tenciona-se aproveitar a exitosa experiência do Comitê Gestor do Simples Nacional, que trata os aspectos tributários da Lei Complementar nº 123, de 2006, para estender a idéia a outros setores. 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A LCP nº 128, de 2008, criou, na LCP nº 123, de 2006, o Comitê Gestor da Rede Nacional para a Simplificação do Registro e da Legalização de Empresas e Negócios (Redesim). Pela presente emenda, propõe-se criar mais dois Comitês Gestores. O primeiro, para tratar dos assuntos relativos à Ciência e Tecnologia, coordenado pelo respectivo Ministério. O segundo, para tratar da delicada questão do acesso aos mercados, por parte da microempresa e da empresa de pequeno porte.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Dessa forma, espera-se dar mais efetividade e rapidez nas ações relativas ao segmento, o que certamente proporcionará melhores condições de sobrevivência e competitividade às referidas empresas.</w:t>
      </w:r>
    </w:p>
    <w:p>
      <w:pPr>
        <w:pStyle w:val="06PargrafodetextoCLG"/>
        <w:bidi w:val="0"/>
        <w:ind w:left="0" w:right="0" w:firstLine="1418"/>
        <w:jc w:val="left"/>
        <w:rPr/>
      </w:pPr>
      <w:r>
        <w:rPr/>
        <w:t>Propomos, também, no art. 1º, alterar partes da LCP nº 63, de 11 de janeiro de 1990, que trata dos repasses aos Municípios de impostos e transferências recebidos pelos Estados.</w:t>
      </w:r>
    </w:p>
    <w:p>
      <w:pPr>
        <w:pStyle w:val="06PargrafodetextoCLG"/>
        <w:bidi w:val="0"/>
        <w:ind w:left="0" w:right="0" w:firstLine="1418"/>
        <w:jc w:val="left"/>
        <w:rPr/>
      </w:pPr>
      <w:r>
        <w:rPr/>
        <w:t xml:space="preserve">A alteração do § 6º do art. 3º da LCP nº 63, de 1990, decorre </w:t>
      </w:r>
      <w:r>
        <w:rPr>
          <w:bCs/>
        </w:rPr>
        <w:t>da necessidade de se conceder mais prazo para que as microempresas e empresas de pequeno porte apresentem as declarações relativas ao ano-calendário anterior. Isso porque, com o cálculo provisório do Índice de Participação dos Municípios (IPM) hoje estipulado para 30 de junho, não é viável a entrega das declarações pela microempresa ou pela empresa de pequeno porte em prazo razoável.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As modificações promovidas nos §§ 14 e 15 do mesmo art. 3º da LCP nº 63, de 1990, visam a tornar cristalinos os conceitos relativos ao cálculo do IPM no que tange às empresas optantes pelo Simples Nacional. Atualmente há muitas dúvidas sobre o conceito de receita bruta, o que faz com que um número exagerado de informações seja exigido das empresas optantes. Isso porque a simplificação pretendida quando da alteração na LCP nº 63, de 1990, trazida pela LCP nº 123, de 2006, não foi alcançada. As alterações trarão mais clareza aos conceitos e a tão desejada simplificação, com redução de exigências.</w:t>
      </w:r>
    </w:p>
    <w:p>
      <w:pPr>
        <w:pStyle w:val="06PargrafodetextoCLG"/>
        <w:bidi w:val="0"/>
        <w:ind w:left="0" w:right="0" w:firstLine="1418"/>
        <w:jc w:val="left"/>
        <w:rPr/>
      </w:pPr>
      <w:r>
        <w:rPr>
          <w:bCs/>
        </w:rPr>
        <w:t>Por conter uma série de medidas necessárias ao aperfeiçoamento de um sistema que só tem trazido benefícios à Nação, contamos com o apoio dos nobres colegas à aprovação do presente Projeto.</w:t>
      </w:r>
    </w:p>
    <w:p>
      <w:pPr>
        <w:pStyle w:val="Normal"/>
        <w:bidi w:val="0"/>
        <w:spacing w:lineRule="auto" w:line="288"/>
        <w:ind w:left="0" w:right="0" w:firstLine="1418"/>
        <w:jc w:val="both"/>
        <w:rPr/>
      </w:pPr>
      <w:r>
        <w:rPr>
          <w:sz w:val="28"/>
        </w:rPr>
        <w:t>Sala das Sessões,</w:t>
      </w:r>
    </w:p>
    <w:p>
      <w:pPr>
        <w:pStyle w:val="Normal"/>
        <w:bidi w:val="0"/>
        <w:spacing w:lineRule="auto" w:line="288"/>
        <w:ind w:left="0" w:right="0" w:firstLine="1418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288"/>
        <w:ind w:left="0" w:right="0" w:firstLine="1418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bidi w:val="0"/>
        <w:ind w:left="0" w:right="0" w:hanging="0"/>
        <w:jc w:val="center"/>
        <w:rPr/>
      </w:pPr>
      <w:r>
        <w:rPr>
          <w:sz w:val="28"/>
          <w:szCs w:val="28"/>
        </w:rPr>
        <w:t>Senador ADELMIR SANTANA</w:t>
      </w:r>
    </w:p>
    <w:sectPr>
      <w:footerReference w:type="default" r:id="rId2"/>
      <w:type w:val="nextPage"/>
      <w:pgSz w:w="11906" w:h="16838"/>
      <w:pgMar w:left="1701" w:right="1701" w:header="0" w:top="1418" w:footer="709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widowControl/>
      <w:tabs>
        <w:tab w:val="center" w:pos="4252" w:leader="none"/>
        <w:tab w:val="right" w:pos="8504" w:leader="none"/>
      </w:tabs>
      <w:bidi w:val="0"/>
      <w:ind w:left="0" w:right="360" w:hanging="0"/>
      <w:jc w:val="left"/>
      <w:textAlignment w:val="auto"/>
      <w:rPr>
        <w:rFonts w:ascii="Times New Roman" w:hAnsi="Times New Roman" w:cs="Times New Roman"/>
        <w:sz w:val="24"/>
        <w:szCs w:val="24"/>
        <w:lang w:val="pt-BR" w:eastAsia="pt-BR" w:bidi="ar-SA"/>
      </w:rPr>
    </w:pPr>
    <w:r>
      <w:rPr>
        <w:rFonts w:cs="Times New Roman"/>
        <w:sz w:val="24"/>
        <w:szCs w:val="24"/>
        <w:lang w:val="pt-BR" w:eastAsia="pt-BR" w:bidi="ar-SA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670" cy="174625"/>
              <wp:effectExtent l="0" t="0" r="0" b="0"/>
              <wp:wrapTopAndBottom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widowControl/>
                            <w:tabs>
                              <w:tab w:val="center" w:pos="4252" w:leader="none"/>
                              <w:tab w:val="right" w:pos="8504" w:leader="none"/>
                            </w:tabs>
                            <w:bidi w:val="0"/>
                            <w:ind w:left="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Style w:val="Pagenumber"/>
                              <w:rFonts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  <w:rFonts w:cs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  <w:rFonts w:cs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  <w:rFonts w:cs="Times New Roman"/>
                            </w:rPr>
                            <w:t>11</w:t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  <w:rFonts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413.1pt;margin-top:0.05pt;width:12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widowControl/>
                      <w:tabs>
                        <w:tab w:val="center" w:pos="4252" w:leader="none"/>
                        <w:tab w:val="right" w:pos="8504" w:leader="none"/>
                      </w:tabs>
                      <w:bidi w:val="0"/>
                      <w:ind w:left="0" w:right="0" w:hanging="0"/>
                      <w:jc w:val="left"/>
                      <w:textAlignment w:val="auto"/>
                      <w:rPr/>
                    </w:pPr>
                    <w:r>
                      <w:rPr>
                        <w:rStyle w:val="Pagenumber"/>
                        <w:rFonts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sz w:val="24"/>
                        <w:szCs w:val="24"/>
                        <w:rFonts w:cs="Times New Roman"/>
                      </w:rPr>
                      <w:instrText> PAGE </w:instrText>
                    </w:r>
                    <w:r>
                      <w:rPr>
                        <w:rStyle w:val="Pagenumber"/>
                        <w:sz w:val="24"/>
                        <w:szCs w:val="24"/>
                        <w:rFonts w:cs="Times New Roman"/>
                      </w:rPr>
                      <w:fldChar w:fldCharType="separate"/>
                    </w:r>
                    <w:r>
                      <w:rPr>
                        <w:rStyle w:val="Pagenumber"/>
                        <w:sz w:val="24"/>
                        <w:szCs w:val="24"/>
                        <w:rFonts w:cs="Times New Roman"/>
                      </w:rPr>
                      <w:t>11</w:t>
                    </w:r>
                    <w:r>
                      <w:rPr>
                        <w:rStyle w:val="Pagenumber"/>
                        <w:sz w:val="24"/>
                        <w:szCs w:val="24"/>
                        <w:rFonts w:cs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Tahoma" w:cs="Times New Roman"/>
      <w:color w:val="auto"/>
      <w:kern w:val="2"/>
      <w:sz w:val="24"/>
      <w:szCs w:val="24"/>
      <w:lang w:val="pt-BR" w:eastAsia="pt-BR" w:bidi="ar-SA"/>
    </w:rPr>
  </w:style>
  <w:style w:type="character" w:styleId="DefaultParagraphFont">
    <w:name w:val="Default Paragraph Font"/>
    <w:qFormat/>
    <w:rPr/>
  </w:style>
  <w:style w:type="character" w:styleId="06PargrafodetextoCLGChar">
    <w:name w:val="06 - Parágrafo de texto - CLG Char"/>
    <w:basedOn w:val="DefaultParagraphFont"/>
    <w:qFormat/>
    <w:rPr>
      <w:rFonts w:cs="Times New Roman"/>
      <w:sz w:val="28"/>
      <w:lang w:val="pt-BR" w:eastAsia="pt-BR" w:bidi="ar-SA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04RelatoriaCLGChar">
    <w:name w:val="04 - Relatoria - CLG Char"/>
    <w:basedOn w:val="DefaultParagraphFont"/>
    <w:qFormat/>
    <w:rPr>
      <w:rFonts w:cs="Times New Roman"/>
      <w:sz w:val="28"/>
      <w:lang w:val="pt-BR" w:eastAsia="pt-BR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Tahoma" w:cs="Times New Roman"/>
      <w:color w:val="auto"/>
      <w:kern w:val="2"/>
      <w:sz w:val="20"/>
      <w:szCs w:val="20"/>
      <w:lang w:val="pt-BR" w:eastAsia="pt-BR" w:bidi="hi-IN"/>
    </w:rPr>
  </w:style>
  <w:style w:type="paragraph" w:styleId="06PargrafodetextoCLG">
    <w:name w:val="06 - Parágrafo de texto - CLG"/>
    <w:qFormat/>
    <w:pPr>
      <w:widowControl/>
      <w:bidi w:val="0"/>
      <w:spacing w:before="0" w:after="360"/>
      <w:ind w:firstLine="1418"/>
      <w:jc w:val="both"/>
      <w:textAlignment w:val="auto"/>
    </w:pPr>
    <w:rPr>
      <w:rFonts w:ascii="Times New Roman" w:hAnsi="Times New Roman" w:eastAsia="Tahoma" w:cs="Times New Roman"/>
      <w:color w:val="auto"/>
      <w:kern w:val="2"/>
      <w:sz w:val="28"/>
      <w:szCs w:val="20"/>
      <w:lang w:val="pt-BR" w:eastAsia="pt-BR" w:bidi="ar-SA"/>
    </w:rPr>
  </w:style>
  <w:style w:type="paragraph" w:styleId="07CitaolegalCLG">
    <w:name w:val="07 - Citação legal - CLG"/>
    <w:qFormat/>
    <w:pPr>
      <w:widowControl/>
      <w:bidi w:val="0"/>
      <w:spacing w:before="0" w:after="120"/>
      <w:ind w:left="1985" w:firstLine="567"/>
      <w:jc w:val="both"/>
      <w:textAlignment w:val="auto"/>
    </w:pPr>
    <w:rPr>
      <w:rFonts w:ascii="Times New Roman" w:hAnsi="Times New Roman" w:eastAsia="Tahoma" w:cs="Times New Roman"/>
      <w:bCs/>
      <w:color w:val="auto"/>
      <w:kern w:val="2"/>
      <w:sz w:val="24"/>
      <w:szCs w:val="20"/>
      <w:lang w:val="pt-BR" w:eastAsia="pt-BR" w:bidi="ar-SA"/>
    </w:rPr>
  </w:style>
  <w:style w:type="paragraph" w:styleId="09TtuloemendaCLG">
    <w:name w:val="09 - Título emenda - CLG"/>
    <w:qFormat/>
    <w:pPr>
      <w:widowControl/>
      <w:bidi w:val="0"/>
      <w:spacing w:before="480" w:after="360"/>
      <w:jc w:val="center"/>
      <w:textAlignment w:val="auto"/>
    </w:pPr>
    <w:rPr>
      <w:rFonts w:ascii="Times New Roman" w:hAnsi="Times New Roman" w:eastAsia="Tahoma" w:cs="Times New Roman"/>
      <w:b/>
      <w:bCs/>
      <w:color w:val="auto"/>
      <w:spacing w:val="-4"/>
      <w:kern w:val="2"/>
      <w:sz w:val="28"/>
      <w:szCs w:val="20"/>
      <w:lang w:val="pt-BR" w:eastAsia="pt-BR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  <w:jc w:val="left"/>
      <w:textAlignment w:val="auto"/>
    </w:pPr>
    <w:rPr>
      <w:rFonts w:ascii="Verdana" w:hAnsi="Verdana" w:eastAsia="Arial Unicode MS" w:cs="Verdana"/>
      <w:sz w:val="24"/>
      <w:szCs w:val="24"/>
      <w:lang w:val="pt-BR" w:eastAsia="pt-BR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cs="Tahoma"/>
      <w:sz w:val="16"/>
      <w:szCs w:val="16"/>
      <w:lang w:val="pt-BR" w:eastAsia="pt-BR" w:bidi="ar-SA"/>
    </w:rPr>
  </w:style>
  <w:style w:type="paragraph" w:styleId="Cabealho">
    <w:name w:val="Header"/>
    <w:basedOn w:val="Normal"/>
    <w:pPr>
      <w:widowControl/>
      <w:tabs>
        <w:tab w:val="clear" w:pos="708"/>
        <w:tab w:val="center" w:pos="4252" w:leader="none"/>
        <w:tab w:val="right" w:pos="8504" w:leader="none"/>
      </w:tabs>
      <w:jc w:val="left"/>
      <w:textAlignment w:val="auto"/>
    </w:pPr>
    <w:rPr>
      <w:rFonts w:cs="Times New Roman"/>
      <w:sz w:val="24"/>
      <w:szCs w:val="24"/>
      <w:lang w:val="pt-BR" w:eastAsia="pt-BR" w:bidi="ar-SA"/>
    </w:rPr>
  </w:style>
  <w:style w:type="paragraph" w:styleId="Rodap">
    <w:name w:val="Footer"/>
    <w:basedOn w:val="Normal"/>
    <w:pPr>
      <w:widowControl/>
      <w:tabs>
        <w:tab w:val="clear" w:pos="708"/>
        <w:tab w:val="center" w:pos="4252" w:leader="none"/>
        <w:tab w:val="right" w:pos="8504" w:leader="none"/>
      </w:tabs>
      <w:jc w:val="left"/>
      <w:textAlignment w:val="auto"/>
    </w:pPr>
    <w:rPr>
      <w:rFonts w:cs="Times New Roman"/>
      <w:sz w:val="24"/>
      <w:szCs w:val="24"/>
      <w:lang w:val="pt-BR" w:eastAsia="pt-BR" w:bidi="ar-SA"/>
    </w:rPr>
  </w:style>
  <w:style w:type="paragraph" w:styleId="04RelatoriaCLG">
    <w:name w:val="04 - Relatoria - CLG"/>
    <w:qFormat/>
    <w:pPr>
      <w:widowControl/>
      <w:bidi w:val="0"/>
      <w:spacing w:before="0" w:after="960"/>
      <w:ind w:left="1440" w:hanging="0"/>
      <w:jc w:val="left"/>
      <w:textAlignment w:val="auto"/>
    </w:pPr>
    <w:rPr>
      <w:rFonts w:ascii="Times New Roman" w:hAnsi="Times New Roman" w:eastAsia="Tahoma" w:cs="Times New Roman"/>
      <w:color w:val="auto"/>
      <w:kern w:val="2"/>
      <w:sz w:val="28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LibreOffice/6.1.5.2$Linux_X86_64 LibreOffice_project/10$Build-2</Application>
  <Pages>11</Pages>
  <Words>3006</Words>
  <Characters>18981</Characters>
  <CharactersWithSpaces>21902</CharactersWithSpaces>
  <Paragraphs>124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2009-12-21T10:41:00Z</dcterms:created>
  <dc:creator>edias</dc:creator>
  <dc:description/>
  <dc:language>pt-BR</dc:language>
  <cp:lastModifiedBy/>
  <cp:lastPrinted>2009-12-09T17:59:00Z</cp:lastPrinted>
  <dcterms:modified xsi:type="dcterms:W3CDTF">2019-05-15T16:19:05Z</dcterms:modified>
  <cp:revision>19</cp:revision>
  <dc:subject/>
  <dc:title>EMENDA Nº        – CAE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Senado Federal</vt:lpwstr>
  </property>
  <property fmtid="{D5CDD505-2E9C-101B-9397-08002B2CF9AE}" pid="3" name="Operator">
    <vt:lpwstr>edias</vt:lpwstr>
  </property>
</Properties>
</file>