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563EB"/>
          <w:spacing w:val="40"/>
          <w:sz w:val="20"/>
          <w:szCs w:val="20"/>
        </w:rPr>
        <w:t xml:space="preserve">КОММЕРЧЕСКОЕ ПРЕДЛОЖЕНИЕ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E3A5F"/>
          <w:sz w:val="44"/>
          <w:szCs w:val="44"/>
        </w:rPr>
        <w:t xml:space="preserve">Система складского учёта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«МЕД-ЛОГИСТИКА»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Medical Warehouse Management System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6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pct" w:w="3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Дата</w:t>
            </w:r>
          </w:p>
        </w:tc>
        <w:tc>
          <w:tcPr>
            <w:tcW w:type="pct" w:w="6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29 мая 2026 г.</w:t>
            </w:r>
          </w:p>
        </w:tc>
      </w:tr>
      <w:tr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Срок действия КП</w:t>
            </w:r>
          </w:p>
        </w:tc>
        <w:tc>
          <w:tcPr>
            <w:tcW w:type="pct" w:w="6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 календарных дней</w:t>
            </w:r>
          </w:p>
        </w:tc>
      </w:tr>
      <w:tr>
        <w:tc>
          <w:tcPr>
            <w:tcW w:type="pct" w:w="3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Статус продукта</w:t>
            </w:r>
          </w:p>
        </w:tc>
        <w:tc>
          <w:tcPr>
            <w:tcW w:type="pct" w:w="6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Готовое решение · пилот пройден · внедрение</w:t>
            </w:r>
          </w:p>
        </w:tc>
      </w:tr>
      <w:tr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Формат</w:t>
            </w:r>
          </w:p>
        </w:tc>
        <w:tc>
          <w:tcPr>
            <w:tcW w:type="pct" w:w="6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Веб-система · один склад · до 20 пользователей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Настоящее предложение описывает поставку и внедрение готовой системы складского учёта медицинских товаров. Интеграции с 1С и «Честный ЗНАК» оформляются отдельным договором и оплачиваются дополнительно (раздел 4.2).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О продукте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«МЕД-ЛОГИСТИКА» — специализированная WMS для медицинского склада: партийный учёт, контроль сроков годности, регистрационные удостоверения (РУ), приёмка и списание по FEFO, отгрузки, прослеживаемость операций и ролевой доступ персонала.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Продукт уже разработан и прошёл пилотную эксплуатацию. Сумма 600 000 ₽ относится только к лицензии и внедрению текущей версии — всего, что реализовано и работает на сегодня. Подключение 1С и маркировки — следующий этап по отдельной смете.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Технологический стек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Клиентское приложение (Frontend): React 19 + Vite + TypeScript; интерфейс на Tailwind CSS; таблицы AG Grid; состояние Zustand; кеш и запросы к API — TanStack React Query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Сервер приложений (Backend): NestJS (Node.js 20), REST API с префиксом /api/v1; валидация входных данных (class-validator); единый формат ошибок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База данных: PostgreSQL 16; доступ через Prisma ORM; версионирование схемы миграциями (prisma migrate)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Авторизация и безопасность: JWT (access + refresh), Passport; хеширование паролей bcrypt; RBAC — 4 роли (Администратор, Менеджер, Оператор, Наблюдатель); rate limiting; шифрование чувствительных настроек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Инфраструктура: Docker Compose (dev/prod); multi-stage сборка образов; nginx как reverse proxy и раздача статики фронтенда; health-check endpoints (live/ready)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Эксплуатация и надёжность: структурированное логирование (Pino); автоматический запуск миграций при старте контейнера; скрипты резервного копирования БД; журнал аудита всех значимых действий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Почта и уведомления: настраиваемый SMTP (Nodemailer); восстановление пароля; in-app уведомления; тестовая отправка из панели администратора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Архитектура интеграций: модульный API готов к подключению внешних систем; планируемые коннекторы — 1С:Предприятие (обмен справочниками и документами) и ГИС МТ «Честный ЗНАК» (маркировка, КМ) — реализуются отдельным этапом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Реализованный функционал (на текущий момент)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2.1. Безопасность и пользователи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Вход в систему, автоматическое обновление сессии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Восстановление пароля по e-mail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Роли: Администратор, Менеджер, Оператор, Наблюдатель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Управление пользователями: создание, редактирование, сброс пароля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2.2. Номенклатура и документы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Справочник товаров, фильтры, быстрое создание при приёмке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Регистрационные удостоверения (РУ): загрузка и хранение файлов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Партии (лоты): статусы, ячейки, локации на складе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Ожидаемые поставки: планирование, закрытие, отмена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2.3. Складские операции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Приёмка товара с корзиной позиций и привязкой к партиям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Списание: одиночное и пакетное, рекомендации FEFO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Справочник направлений списания (утилизация, брак и др.)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Корректировка ошибочных списаний (администратор / менеджер)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Журнал движений — полная история складских операций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Остатки и баланс по товарам и партиям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2.4. Контроль качества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Контроль сроков годности: сводка, критические партии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Отзыв партий по номеру лота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Журнал аудита действий пользователей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2.5. Отгрузки и контрагенты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Отгрузки: создание, комплектация (picking), пауза, завершение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Печатные формы по отгрузке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Связь отгрузки со списанием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Справочники заказчиков и поставщиков, договоры, файлы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2.6. Работа на складе (ТСД / сканер)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ТСД-терминал — упрощённый интерфейс для сканера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Глобальная обработка штрихкодов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Справочник штрихкодов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2.7. Аналитика и администрирование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Панель управления: сводка, критические сроки, отгрузки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Отчёт по смене, экспорт в Excel (товары, партии, движения, сроки)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Уведомления в интерфейсе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Настройки системы и почты (SMTP)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Интеграции (отдельный этап, не входят в 600 000 ₽)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Подключение учётной системы 1С и маркировки «Честный ЗНАК» планируется в рамках того же проекта, но оплачивается отдельно — после стабилизации базового внедрения и приёмки склада. Состав и объём обмена фиксируются в дополнительном ТЗ.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Интеграция</w:t>
            </w:r>
          </w:p>
        </w:tc>
        <w:tc>
          <w:tcPr>
            <w:tcW w:type="pct" w:w="48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30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Ориентир срока</w:t>
            </w:r>
          </w:p>
        </w:tc>
      </w:tr>
      <w:tr>
        <w:tc>
          <w:tcPr>
            <w:tcW w:type="pct" w:w="22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1С:Предприятие</w:t>
            </w:r>
          </w:p>
        </w:tc>
        <w:tc>
          <w:tcPr>
            <w:tcW w:type="pct" w:w="48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Синхронизация номенклатуры, остатков, документов приёмки/списания/отгрузки</w:t>
            </w:r>
          </w:p>
        </w:tc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6–10 недель после приёмки базы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«Честный ЗНАК» (ГИС МТ)</w:t>
            </w:r>
          </w:p>
        </w:tc>
        <w:tc>
          <w:tcPr>
            <w:tcW w:type="pct" w:w="4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Приёмка и отгрузка маркированной продукции, сканирование КМ, вывод из оборота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8–14 недель после приёмки базы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D97706"/>
          <w:sz w:val="22"/>
          <w:szCs w:val="22"/>
        </w:rPr>
        <w:t xml:space="preserve">Важно: интеграции не входят в стоимость 600 000 ₽. Окончательная цена каждой интеграции определяется после согласования ТЗ (конфигурация 1С, перечень документов, типы маркированных товаров). Ориентиры — в разделе 4.2.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Стоимость и условия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4.1. Поставка готового продукта (текущая версия)</w:t>
      </w:r>
    </w:p>
    <w:tbl>
      <w:tblPr>
        <w:tblW w:type="pct" w:w="100%"/>
        <w:tblBorders>
          <w:top w:val="single" w:color="2563EB" w:sz="2"/>
          <w:left w:val="single" w:color="CBD5E1" w:sz="1"/>
          <w:bottom w:val="single" w:color="2563EB" w:sz="2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tcW w:type="pct" w:w="3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40"/>
                <w:szCs w:val="40"/>
              </w:rPr>
              <w:t xml:space="preserve">600 000 ₽</w:t>
            </w:r>
          </w:p>
          <w:p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единоразово, без НДС*</w:t>
            </w:r>
          </w:p>
        </w:tc>
        <w:tc>
          <w:tcPr>
            <w:tcW w:type="pct" w:w="6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В стоимость 600 000 ₽ входит: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Бессрочная лицензия на готовую версию ПО (раздел 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Установка и настройка на сервере заказчика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Миграция БД, учётные записи, базовые справочники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Обучение до 6 пользователей (2 сессии)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месяца базовой поддержки после запуска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Не входит в 600 000 ₽: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Интеграция с 1С (см. п. 4.2)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Интеграция «Честный ЗНАК» (см. п. 4.2)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Доработки и новые модули сверх текущего функционала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* НДС начисляется в соответствии с применяемой системой налогообложения исполнителя.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4.2. Интеграции (отдельная оплата)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Стоимость уточняется по итогам ТЗ. Ниже — ориентиры для планирования бюджета. Оплата интеграций: 40% аванс, 40% после тестового обмена, 20% после приёмки.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Работы</w:t>
            </w:r>
          </w:p>
        </w:tc>
        <w:tc>
          <w:tcPr>
            <w:tcW w:type="pct" w:w="27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Ориентир стоимости</w:t>
            </w:r>
          </w:p>
        </w:tc>
        <w:tc>
          <w:tcPr>
            <w:tcW w:type="pct" w:w="3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pct" w:w="38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Интеграция 1С:Предприятие (номенклатура, остатки, документы)</w:t>
            </w:r>
          </w:p>
        </w:tc>
        <w:tc>
          <w:tcPr>
            <w:tcW w:type="pct" w:w="27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от 380 000 ₽</w:t>
            </w:r>
          </w:p>
        </w:tc>
        <w:tc>
          <w:tcPr>
            <w:tcW w:type="pct" w:w="3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6–10 недель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Интеграция «Честный ЗНАК» / ГИС МТ (маркировка, КМ)</w:t>
            </w:r>
          </w:p>
        </w:tc>
        <w:tc>
          <w:tcPr>
            <w:tcW w:type="pct" w:w="27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от 480 000 ₽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8–14 недель</w:t>
            </w:r>
          </w:p>
        </w:tc>
      </w:tr>
      <w:tr>
        <w:tc>
          <w:tcPr>
            <w:tcW w:type="pct" w:w="38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Комплекс: 1С + «Честный ЗНАК» (пакет)</w:t>
            </w:r>
          </w:p>
        </w:tc>
        <w:tc>
          <w:tcPr>
            <w:tcW w:type="pct" w:w="27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от 780 000 ₽</w:t>
            </w:r>
          </w:p>
        </w:tc>
        <w:tc>
          <w:tcPr>
            <w:tcW w:type="pct" w:w="3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10–16 недель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4.3. Сопровождение после внедрения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pct" w:w="2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  <w:tc>
          <w:tcPr>
            <w:tcW w:type="pct" w:w="4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Техническое сопровождение</w:t>
            </w:r>
          </w:p>
        </w:tc>
        <w:tc>
          <w:tcPr>
            <w:tcW w:type="pct" w:w="2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60 000 ₽ / мес.</w:t>
            </w:r>
          </w:p>
        </w:tc>
        <w:tc>
          <w:tcPr>
            <w:tcW w:type="pct" w:w="4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До 8 ч/мес: ошибки, консультации, мелкие правки, бэкапы, обновления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Сверх лимита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4 500 ₽ / час</w:t>
            </w:r>
          </w:p>
        </w:tc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По согласованию или отдельной смете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4.4. График оплаты (базовое внедрение 600 000 ₽)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1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  <w:tc>
          <w:tcPr>
            <w:tcW w:type="pct" w:w="55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Аванс</w:t>
            </w:r>
          </w:p>
        </w:tc>
        <w:tc>
          <w:tcPr>
            <w:tcW w:type="pct" w:w="1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pct" w:w="5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При подписании договора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Промежуточный платёж</w:t>
            </w:r>
          </w:p>
        </w:tc>
        <w:tc>
          <w:tcPr>
            <w:tcW w:type="pct" w:w="1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30%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После установки на production-сервер</w:t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Окончательный расчёт</w:t>
            </w:r>
          </w:p>
        </w:tc>
        <w:tc>
          <w:tcPr>
            <w:tcW w:type="pct" w:w="1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20%</w:t>
            </w:r>
          </w:p>
        </w:tc>
        <w:tc>
          <w:tcPr>
            <w:tcW w:type="pct" w:w="55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После приёмки и 2 недель опытной эксплуатации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Сроки реализации</w:t>
      </w:r>
    </w:p>
    <w:p>
      <w:pPr>
        <w:spacing w:after="1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Сроки рассчитаны на внедрение силами одного специалиста с учётом согласований, тестирования и обучения персонала заказчика.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22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pct" w:w="50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pct" w:w="28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Подписание договора, доступы</w:t>
            </w:r>
          </w:p>
        </w:tc>
        <w:tc>
          <w:tcPr>
            <w:tcW w:type="pct" w:w="22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1–2 недели</w:t>
            </w:r>
          </w:p>
        </w:tc>
        <w:tc>
          <w:tcPr>
            <w:tcW w:type="pct" w:w="5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Старт проекта, ТЗ на внедрение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Установка и настройка prod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3–4 недели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Рабочий стенд на сервере заказчика</w:t>
            </w:r>
          </w:p>
        </w:tc>
      </w:tr>
      <w:tr>
        <w:tc>
          <w:tcPr>
            <w:tcW w:type="pct" w:w="28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Загрузка данных, обучение</w:t>
            </w:r>
          </w:p>
        </w:tc>
        <w:tc>
          <w:tcPr>
            <w:tcW w:type="pct" w:w="22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2–3 недели</w:t>
            </w:r>
          </w:p>
        </w:tc>
        <w:tc>
          <w:tcPr>
            <w:tcW w:type="pct" w:w="5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Персонал работает в системе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Опытная эксплуатация, приёмка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2–3 недели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Акт приёмки базового внедрения</w:t>
            </w:r>
          </w:p>
        </w:tc>
      </w:tr>
      <w:tr>
        <w:tc>
          <w:tcPr>
            <w:tcW w:type="pct" w:w="28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Интеграция 1С</w:t>
            </w:r>
          </w:p>
        </w:tc>
        <w:tc>
          <w:tcPr>
            <w:tcW w:type="pct" w:w="22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6–10 недель*</w:t>
            </w:r>
          </w:p>
        </w:tc>
        <w:tc>
          <w:tcPr>
            <w:tcW w:type="pct" w:w="5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Обмен с учётной системой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Интеграция «Честный ЗНАК»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8–14 недель*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Работа с маркированной продукцией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* Сроки интеграций отсчитываются от даты приёмки базового внедрения. Этапы могут частично выполняться параллельно по согласованию сторон.</w:t>
      </w:r>
    </w:p>
    <w:p>
      <w:pPr>
        <w:spacing w:after="120"/>
      </w:pPr>
    </w:p>
    <w:p>
      <w:pPr>
        <w:shd w:fill="EFF6FF" w:val="clear"/>
        <w:spacing w:after="120" w:before="120"/>
        <w:ind w:left="200" w:right="200"/>
      </w:pPr>
      <w:r>
        <w:rPr>
          <w:rFonts w:ascii="Calibri" w:cs="Calibri" w:eastAsia="Calibri" w:hAnsi="Calibri"/>
          <w:color w:val="1E3A5F"/>
          <w:sz w:val="24"/>
          <w:szCs w:val="24"/>
        </w:rPr>
        <w:t xml:space="preserve">Итого до промышленного старта базовой системы: </w:t>
      </w: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10–12 недель (2,5–3 месяца)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Преимущества для заказчика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Готовый продукт — не макет, а работающая система с реальными операциями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Медицинская специфика из коробки: партии, РУ, FEFO, отзыв, сроки годности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Масштабируемость: сначала склад «из коробки», затем 1С и маркировка по отдельному бюджету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Прозрачность: аудит, история движений, отчёт по смене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Предсказуемый бюджет: фиксированная цена + понятное ежемесячное сопровождение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Контакты и реквизиты исполнителя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70%"/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pct" w:w="7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Контактное лицо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Телефон</w:t>
            </w:r>
          </w:p>
        </w:tc>
        <w:tc>
          <w:tcPr>
            <w:tcW w:type="pct" w:w="7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E-mail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ИНН / ОГРН</w:t>
            </w:r>
          </w:p>
        </w:tc>
        <w:tc>
          <w:tcPr>
            <w:tcW w:type="pct" w:w="7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Расчётный счёт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  <w:tr>
        <w:tc>
          <w:tcPr>
            <w:tcW w:type="pct" w:w="3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Банк</w:t>
            </w:r>
          </w:p>
        </w:tc>
        <w:tc>
          <w:tcPr>
            <w:tcW w:type="pct" w:w="70%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___________________________________________</w:t>
            </w:r>
          </w:p>
        </w:tc>
      </w:tr>
    </w:tbl>
    <w:p>
      <w:pPr>
        <w:spacing w:after="240"/>
      </w:pP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Готов провести демонстрацию системы на ваших данных.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Длительность: 1–2 часа · Формат: онлайн или на площадке заказчика</w:t>
      </w:r>
    </w:p>
    <w:p>
      <w:pPr>
        <w:spacing w:after="4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___________________________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Подпись исполнителя</w:t>
      </w:r>
    </w:p>
    <w:sectPr>
      <w:headerReference w:type="default" r:id="rId7"/>
      <w:footerReference w:type="default" r:id="rId8"/>
      <w:pgSz w:w="11906" w:h="16838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Стр.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из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8"/>
        <w:szCs w:val="18"/>
      </w:rPr>
      <w:t xml:space="preserve">МЕД-ЛОГИСТИКА · Коммерческое предложение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2026-05-29T07:58:51.599Z</dcterms:created>
  <dcterms:modified xsi:type="dcterms:W3CDTF">2026-05-29T07:58:51.599Z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