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Introduksjon</w:t>
      </w:r>
    </w:p>
    <w:p>
      <w:pPr>
        <w:pStyle w:val="BodyText"/>
      </w:pPr>
      <w:r>
        <w:t xml:space="preserve">Placeholder</w:t>
      </w:r>
    </w:p>
    <w:bookmarkStart w:id="22" w:name="X0b87ae338d48460bb27185b5f87ca4fe2385e26"/>
    <w:p>
      <w:pPr>
        <w:pStyle w:val="Heading2"/>
      </w:pPr>
      <w:r>
        <w:t xml:space="preserve">Hvordan jeg som underviser har utviklet meg</w:t>
      </w:r>
    </w:p>
    <w:bookmarkStart w:id="21" w:name="bios1100-2017-2020"/>
    <w:p>
      <w:pPr>
        <w:pStyle w:val="Heading3"/>
      </w:pPr>
      <w:r>
        <w:t xml:space="preserve">BIOS1100 2017-2020</w:t>
      </w:r>
    </w:p>
    <w:bookmarkStart w:id="20" w:name="bios1100"/>
    <w:p>
      <w:pPr>
        <w:pStyle w:val="Heading4"/>
      </w:pPr>
      <w:r>
        <w:t xml:space="preserve">BIOS1100</w:t>
      </w:r>
    </w:p>
    <w:p>
      <w:pPr>
        <w:pStyle w:val="FirstParagraph"/>
      </w:pPr>
      <w:r>
        <w:t xml:space="preserve">2017 saw the introduction of new bachelor programs in all science</w:t>
      </w:r>
      <w:r>
        <w:t xml:space="preserve"> </w:t>
      </w:r>
      <w:r>
        <w:t xml:space="preserve">disciplines at UiO, and with it, now also the bioscience program was</w:t>
      </w:r>
      <w:r>
        <w:t xml:space="preserve"> </w:t>
      </w:r>
      <w:r>
        <w:t xml:space="preserve">going to introduce computational modeling early in the program. It was</w:t>
      </w:r>
      <w:r>
        <w:t xml:space="preserve"> </w:t>
      </w:r>
      <w:r>
        <w:t xml:space="preserve">decided to expose students to this topic already in the first semester</w:t>
      </w:r>
      <w:r>
        <w:t xml:space="preserve"> </w:t>
      </w:r>
      <w:r>
        <w:t xml:space="preserve">with the compulsory course BIOS1100 -</w:t>
      </w:r>
      <w:r>
        <w:t xml:space="preserve"> </w:t>
      </w:r>
      <w:r>
        <w:t xml:space="preserve">“</w:t>
      </w:r>
      <w:r>
        <w:t xml:space="preserve">introduction to computational</w:t>
      </w:r>
      <w:r>
        <w:t xml:space="preserve"> </w:t>
      </w:r>
      <w:r>
        <w:t xml:space="preserve">modelling in bioscience</w:t>
      </w:r>
      <w:r>
        <w:t xml:space="preserve">”</w:t>
      </w:r>
      <w:r>
        <w:t xml:space="preserve">. I was given the responsibility to design and</w:t>
      </w:r>
      <w:r>
        <w:t xml:space="preserve"> </w:t>
      </w:r>
      <w:r>
        <w:t xml:space="preserve">organise the course, which started in 2017. It is the first such course</w:t>
      </w:r>
      <w:r>
        <w:t xml:space="preserve"> </w:t>
      </w:r>
      <w:r>
        <w:t xml:space="preserve">in Norway, and perhaps in the world.</w:t>
      </w:r>
    </w:p>
    <w:p>
      <w:pPr>
        <w:pStyle w:val="BodyText"/>
      </w:pPr>
      <w:r>
        <w:t xml:space="preserve">BIOS1100 aims to teach simple (mathematical) modelling, implementing</w:t>
      </w:r>
      <w:r>
        <w:t xml:space="preserve"> </w:t>
      </w:r>
      <w:r>
        <w:t xml:space="preserve">these models using the programming language Python, while all the time</w:t>
      </w:r>
      <w:r>
        <w:t xml:space="preserve"> </w:t>
      </w:r>
      <w:r>
        <w:t xml:space="preserve">focussing on problems relevant for bioscience students. The focus on</w:t>
      </w:r>
      <w:r>
        <w:t xml:space="preserve"> </w:t>
      </w:r>
      <w:r>
        <w:t xml:space="preserve">biology aims to ensure students see the relevance of the material</w:t>
      </w:r>
      <w:r>
        <w:t xml:space="preserve"> </w:t>
      </w:r>
      <w:r>
        <w:t xml:space="preserve">taught, which is important for student motivation and learning. Problems</w:t>
      </w:r>
      <w:r>
        <w:t xml:space="preserve"> </w:t>
      </w:r>
      <w:r>
        <w:t xml:space="preserve">ranging from population growth and dynamics, inheritance, DNA analysis</w:t>
      </w:r>
      <w:r>
        <w:t xml:space="preserve"> </w:t>
      </w:r>
      <w:r>
        <w:t xml:space="preserve">and disease epidemics are used to gradually introduce more complex</w:t>
      </w:r>
      <w:r>
        <w:t xml:space="preserve"> </w:t>
      </w:r>
      <w:r>
        <w:t xml:space="preserve">programming and modelling.</w:t>
      </w:r>
    </w:p>
    <w:p>
      <w:pPr>
        <w:pStyle w:val="BodyText"/>
      </w:pPr>
      <w:r>
        <w:t xml:space="preserve">A textbook has been, and still is being, developed for BIOS1100. It</w:t>
      </w:r>
      <w:r>
        <w:t xml:space="preserve"> </w:t>
      </w:r>
      <w:r>
        <w:t xml:space="preserve">introduces new programming concepts, illustrating their immediate</w:t>
      </w:r>
      <w:r>
        <w:t xml:space="preserve"> </w:t>
      </w:r>
      <w:r>
        <w:t xml:space="preserve">usefulness in the context of a biological problem.</w:t>
      </w:r>
    </w:p>
    <w:p>
      <w:pPr>
        <w:pStyle w:val="BodyText"/>
      </w:pPr>
      <w:r>
        <w:t xml:space="preserve">The course is a first-semester course, obligatory for all students</w:t>
      </w:r>
      <w:r>
        <w:t xml:space="preserve"> </w:t>
      </w:r>
      <w:r>
        <w:t xml:space="preserve">taking the Bioscience program. It consists of weekly lectures (2 hours),</w:t>
      </w:r>
      <w:r>
        <w:t xml:space="preserve"> </w:t>
      </w:r>
      <w:r>
        <w:t xml:space="preserve">compulsory group sessions (4 hours) and optional Participatory Live</w:t>
      </w:r>
      <w:r>
        <w:t xml:space="preserve"> </w:t>
      </w:r>
      <w:r>
        <w:t xml:space="preserve">Coding sessions for students new to programming.</w:t>
      </w:r>
    </w:p>
    <w:p>
      <w:pPr>
        <w:pStyle w:val="BodyText"/>
      </w:pPr>
      <w:r>
        <w:t xml:space="preserve">FIXME: legge til Participatory Live Coding</w:t>
      </w:r>
    </w:p>
    <w:bookmarkEnd w:id="20"/>
    <w:bookmarkEnd w:id="21"/>
    <w:bookmarkEnd w:id="22"/>
    <w:bookmarkStart w:id="23" w:name="X5cd5dd38664be8d7279ad1011243c6364a7f223"/>
    <w:p>
      <w:pPr>
        <w:pStyle w:val="Heading2"/>
      </w:pPr>
      <w:r>
        <w:t xml:space="preserve">Min undervisningsfilosofi (Teaching Statement)</w:t>
      </w:r>
    </w:p>
    <w:p>
      <w:pPr>
        <w:pStyle w:val="FirstParagraph"/>
      </w:pPr>
      <w:r>
        <w:t xml:space="preserve">FIXME fix references</w:t>
      </w:r>
    </w:p>
    <w:bookmarkEnd w:id="23"/>
    <w:bookmarkStart w:id="56" w:name="teaching-statement"/>
    <w:p>
      <w:pPr>
        <w:pStyle w:val="Heading2"/>
      </w:pPr>
      <w:r>
        <w:t xml:space="preserve">Teaching Statement</w:t>
      </w:r>
    </w:p>
    <w:bookmarkStart w:id="24" w:name="introduction"/>
    <w:p>
      <w:pPr>
        <w:pStyle w:val="Heading3"/>
      </w:pPr>
      <w:r>
        <w:t xml:space="preserve">Introduction</w:t>
      </w:r>
    </w:p>
    <w:p>
      <w:pPr>
        <w:pStyle w:val="FirstParagraph"/>
      </w:pPr>
      <w:r>
        <w:t xml:space="preserve">My approach to developing my teaching is based on the observation that</w:t>
      </w:r>
      <w:r>
        <w:t xml:space="preserve"> </w:t>
      </w:r>
      <w:r>
        <w:t xml:space="preserve">education is its own science, and a conviction that we should take the</w:t>
      </w:r>
      <w:r>
        <w:t xml:space="preserve"> </w:t>
      </w:r>
      <w:r>
        <w:t xml:space="preserve">results of that science seriously when we develop courses. Just as prior</w:t>
      </w:r>
      <w:r>
        <w:t xml:space="preserve"> </w:t>
      </w:r>
      <w:r>
        <w:t xml:space="preserve">research informs us when we develop our own research, so should</w:t>
      </w:r>
      <w:r>
        <w:t xml:space="preserve"> </w:t>
      </w:r>
      <w:r>
        <w:t xml:space="preserve">educational research inform us when we develop our own teaching.</w:t>
      </w:r>
    </w:p>
    <w:p>
      <w:pPr>
        <w:pStyle w:val="BodyText"/>
      </w:pPr>
      <w:r>
        <w:t xml:space="preserve">Educational research is a vast field and there is a lot to learn. But,</w:t>
      </w:r>
      <w:r>
        <w:t xml:space="preserve"> </w:t>
      </w:r>
      <w:r>
        <w:t xml:space="preserve">one can not use all there is to learn, one has to limit oneself and</w:t>
      </w:r>
      <w:r>
        <w:t xml:space="preserve"> </w:t>
      </w:r>
      <w:r>
        <w:t xml:space="preserve">focus on a few areas at the time. For me, these areas are i) Cognitive</w:t>
      </w:r>
      <w:r>
        <w:t xml:space="preserve"> </w:t>
      </w:r>
      <w:r>
        <w:t xml:space="preserve">Load Theory, ii) Formative Assessment and Peer instruction, and iii)</w:t>
      </w:r>
      <w:r>
        <w:t xml:space="preserve"> </w:t>
      </w:r>
      <w:r>
        <w:t xml:space="preserve">Constructive Alignment. In the following, I will introduce what I have</w:t>
      </w:r>
      <w:r>
        <w:t xml:space="preserve"> </w:t>
      </w:r>
      <w:r>
        <w:t xml:space="preserve">learned from these areas and describe how I have implemented this in my</w:t>
      </w:r>
      <w:r>
        <w:t xml:space="preserve"> </w:t>
      </w:r>
      <w:r>
        <w:t xml:space="preserve">teaching. I will focus on a new course that I have developed in the</w:t>
      </w:r>
      <w:r>
        <w:t xml:space="preserve"> </w:t>
      </w:r>
      <w:r>
        <w:t xml:space="preserve">period since 2017, BIOS1100 – Introduction to computational models for</w:t>
      </w:r>
      <w:r>
        <w:t xml:space="preserve"> </w:t>
      </w:r>
      <w:r>
        <w:t xml:space="preserve">Biosciences.</w:t>
      </w:r>
      <w:r>
        <w:t xml:space="preserve"> </w:t>
      </w:r>
      <w:r>
        <w:t xml:space="preserve">When developing, and improving the course, I increasingly tried to</w:t>
      </w:r>
      <w:r>
        <w:t xml:space="preserve"> </w:t>
      </w:r>
      <w:r>
        <w:t xml:space="preserve">incorporate what I have learned, and am learning, from educational</w:t>
      </w:r>
      <w:r>
        <w:t xml:space="preserve"> </w:t>
      </w:r>
      <w:r>
        <w:t xml:space="preserve">science. This will be described in the following three sections.</w:t>
      </w:r>
    </w:p>
    <w:bookmarkEnd w:id="24"/>
    <w:bookmarkStart w:id="38" w:name="X600933c3d57d09a14ac492e512f1d1a7ff11f25"/>
    <w:p>
      <w:pPr>
        <w:pStyle w:val="Heading3"/>
      </w:pPr>
      <w:r>
        <w:t xml:space="preserve">Cognitive load theory and the need to manage cognitive load</w:t>
      </w:r>
    </w:p>
    <w:bookmarkStart w:id="27" w:name="theoretical-background"/>
    <w:p>
      <w:pPr>
        <w:pStyle w:val="Heading4"/>
      </w:pPr>
      <w:r>
        <w:t xml:space="preserve">Theoretical background</w:t>
      </w:r>
    </w:p>
    <w:p>
      <w:pPr>
        <w:pStyle w:val="FirstParagraph"/>
      </w:pPr>
      <w:r>
        <w:t xml:space="preserve">Knowing some of the research of how humans, and especially university</w:t>
      </w:r>
      <w:r>
        <w:t xml:space="preserve"> </w:t>
      </w:r>
      <w:r>
        <w:t xml:space="preserve">students, learn can (and should) inform us on how to organise, plan and</w:t>
      </w:r>
      <w:r>
        <w:t xml:space="preserve"> </w:t>
      </w:r>
      <w:r>
        <w:t xml:space="preserve">execute our teaching. The study of mental processes, including learning,</w:t>
      </w:r>
      <w:r>
        <w:t xml:space="preserve"> </w:t>
      </w:r>
      <w:r>
        <w:t xml:space="preserve">is called Cognitive Psychology. Part of this field is concerned with</w:t>
      </w:r>
      <w:r>
        <w:t xml:space="preserve"> </w:t>
      </w:r>
      <w:r>
        <w:t xml:space="preserve">cognitive load theory.</w:t>
      </w:r>
    </w:p>
    <w:p>
      <w:pPr>
        <w:pStyle w:val="BodyText"/>
      </w:pPr>
      <w:r>
        <w:t xml:space="preserve">Learning theory starts from acknowledging that humans have two memory</w:t>
      </w:r>
      <w:r>
        <w:t xml:space="preserve"> </w:t>
      </w:r>
      <w:r>
        <w:t xml:space="preserve">systems:</w:t>
      </w:r>
      <w:r>
        <w:t xml:space="preserve"> </w:t>
      </w:r>
      <w:r>
        <w:rPr>
          <w:i/>
        </w:rPr>
        <w:t xml:space="preserve">working memory</w:t>
      </w:r>
      <w:r>
        <w:t xml:space="preserve"> </w:t>
      </w:r>
      <w:r>
        <w:t xml:space="preserve">and</w:t>
      </w:r>
      <w:r>
        <w:t xml:space="preserve"> </w:t>
      </w:r>
      <w:r>
        <w:rPr>
          <w:i/>
        </w:rPr>
        <w:t xml:space="preserve">long-term memory</w:t>
      </w:r>
      <w:r>
        <w:t xml:space="preserve">. Working memory is</w:t>
      </w:r>
      <w:r>
        <w:t xml:space="preserve"> </w:t>
      </w:r>
      <w:r>
        <w:t xml:space="preserve">where new information is processed, and coupled to pre-existing</w:t>
      </w:r>
      <w:r>
        <w:t xml:space="preserve"> </w:t>
      </w:r>
      <w:r>
        <w:t xml:space="preserve">information present in long-term memory. It is said that learning</w:t>
      </w:r>
      <w:r>
        <w:t xml:space="preserve"> </w:t>
      </w:r>
      <w:r>
        <w:t xml:space="preserve">happens if this new information is transferred to long-term memory.</w:t>
      </w:r>
      <w:r>
        <w:t xml:space="preserve"> </w:t>
      </w:r>
      <w:r>
        <w:t xml:space="preserve">While long-term memory can contain vast amounts of information, working</w:t>
      </w:r>
      <w:r>
        <w:t xml:space="preserve"> </w:t>
      </w:r>
      <w:r>
        <w:t xml:space="preserve">memory is considered small, and has a capacity of about</w:t>
      </w:r>
      <w:r>
        <w:t xml:space="preserve"> </w:t>
      </w:r>
      <w:r>
        <w:t xml:space="preserve">“</w:t>
      </w:r>
      <w:r>
        <w:t xml:space="preserve">seven plus or</w:t>
      </w:r>
      <w:r>
        <w:t xml:space="preserve"> </w:t>
      </w:r>
      <w:r>
        <w:t xml:space="preserve">minus two</w:t>
      </w:r>
      <w:r>
        <w:t xml:space="preserve">”</w:t>
      </w:r>
      <w:r>
        <w:t xml:space="preserve"> </w:t>
      </w:r>
      <w:r>
        <w:t xml:space="preserve">pieces of information</w:t>
      </w:r>
      <w:r>
        <w:t xml:space="preserve"> </w:t>
      </w:r>
      <w:r>
        <w:t xml:space="preserve">[@millerMagicalNumberSeven1956]</w:t>
      </w:r>
      <w:r>
        <w:t xml:space="preserve">.</w:t>
      </w:r>
      <w:r>
        <w:t xml:space="preserve"> </w:t>
      </w:r>
      <w:r>
        <w:t xml:space="preserve">Cognitive load theory is</w:t>
      </w:r>
      <w:r>
        <w:t xml:space="preserve"> </w:t>
      </w:r>
      <w:r>
        <w:t xml:space="preserve">“</w:t>
      </w:r>
      <w:r>
        <w:t xml:space="preserve">a set of learning principles that deals with the optimal</w:t>
      </w:r>
      <w:r>
        <w:t xml:space="preserve"> </w:t>
      </w:r>
      <w:r>
        <w:t xml:space="preserve">usage of the working memory</w:t>
      </w:r>
      <w:r>
        <w:t xml:space="preserve">”</w:t>
      </w:r>
      <w:r>
        <w:t xml:space="preserve"> </w:t>
      </w:r>
      <w:hyperlink r:id="rId25">
        <w:r>
          <w:rPr>
            <w:rStyle w:val="Hyperlink"/>
          </w:rPr>
          <w:t xml:space="preserve">(Caspersen and Bennedsen,</w:t>
        </w:r>
        <w:r>
          <w:rPr>
            <w:rStyle w:val="Hyperlink"/>
          </w:rPr>
          <w:t xml:space="preserve"> </w:t>
        </w:r>
        <w:r>
          <w:rPr>
            <w:rStyle w:val="Hyperlink"/>
          </w:rPr>
          <w:t xml:space="preserve">2007)</w:t>
        </w:r>
      </w:hyperlink>
      <w:r>
        <w:t xml:space="preserve">. This theory, as</w:t>
      </w:r>
      <w:r>
        <w:t xml:space="preserve"> </w:t>
      </w:r>
      <w:r>
        <w:t xml:space="preserve">defined in a recent review on the subject</w:t>
      </w:r>
      <w:r>
        <w:t xml:space="preserve"> </w:t>
      </w:r>
      <w:hyperlink r:id="rId26">
        <w:r>
          <w:rPr>
            <w:rStyle w:val="Hyperlink"/>
          </w:rPr>
          <w:t xml:space="preserve">(Sweller et al.,</w:t>
        </w:r>
        <w:r>
          <w:rPr>
            <w:rStyle w:val="Hyperlink"/>
          </w:rPr>
          <w:t xml:space="preserve"> </w:t>
        </w:r>
        <w:r>
          <w:rPr>
            <w:rStyle w:val="Hyperlink"/>
          </w:rPr>
          <w:t xml:space="preserve">2019)</w:t>
        </w:r>
      </w:hyperlink>
      <w:r>
        <w:t xml:space="preserve">,</w:t>
      </w:r>
      <w:r>
        <w:t xml:space="preserve"> </w:t>
      </w:r>
      <w:r>
        <w:t xml:space="preserve">“</w:t>
      </w:r>
      <w:r>
        <w:t xml:space="preserve">aims to explain how</w:t>
      </w:r>
      <w:r>
        <w:t xml:space="preserve"> </w:t>
      </w:r>
      <w:r>
        <w:t xml:space="preserve">the information processing load induced by learning tasks can affect</w:t>
      </w:r>
      <w:r>
        <w:t xml:space="preserve"> </w:t>
      </w:r>
      <w:r>
        <w:t xml:space="preserve">students’ ability to process new information and to construct knowledge</w:t>
      </w:r>
      <w:r>
        <w:t xml:space="preserve"> </w:t>
      </w:r>
      <w:r>
        <w:t xml:space="preserve">in long-term memory</w:t>
      </w:r>
      <w:r>
        <w:t xml:space="preserve">”</w:t>
      </w:r>
      <w:r>
        <w:t xml:space="preserve">. The theory argues that the limited capacity of</w:t>
      </w:r>
      <w:r>
        <w:t xml:space="preserve"> </w:t>
      </w:r>
      <w:r>
        <w:t xml:space="preserve">working memory severely restricts how much new information can be</w:t>
      </w:r>
      <w:r>
        <w:t xml:space="preserve"> </w:t>
      </w:r>
      <w:r>
        <w:t xml:space="preserve">processed at any one time. When too much is asked from this working</w:t>
      </w:r>
      <w:r>
        <w:t xml:space="preserve"> </w:t>
      </w:r>
      <w:r>
        <w:t xml:space="preserve">memory, there is a risk of overloading it, hampering learning.</w:t>
      </w:r>
      <w:r>
        <w:t xml:space="preserve"> </w:t>
      </w:r>
      <w:r>
        <w:t xml:space="preserve">Overloading working memory inhibits the effective transfer of new</w:t>
      </w:r>
      <w:r>
        <w:t xml:space="preserve"> </w:t>
      </w:r>
      <w:r>
        <w:t xml:space="preserve">knowledge to long-term memory, which is required for learning. It is</w:t>
      </w:r>
      <w:r>
        <w:t xml:space="preserve"> </w:t>
      </w:r>
      <w:r>
        <w:t xml:space="preserve">argued that instructional methods need to take these limits into</w:t>
      </w:r>
      <w:r>
        <w:t xml:space="preserve"> </w:t>
      </w:r>
      <w:r>
        <w:t xml:space="preserve">account.</w:t>
      </w:r>
    </w:p>
    <w:bookmarkEnd w:id="27"/>
    <w:bookmarkStart w:id="31" w:name="what-does-this-mean-for-bios1100"/>
    <w:p>
      <w:pPr>
        <w:pStyle w:val="Heading4"/>
      </w:pPr>
      <w:r>
        <w:t xml:space="preserve">What does this mean for BIOS1100?</w:t>
      </w:r>
    </w:p>
    <w:p>
      <w:pPr>
        <w:pStyle w:val="FirstParagraph"/>
      </w:pPr>
      <w:r>
        <w:t xml:space="preserve">Learning how to program is an important part of the teaching in</w:t>
      </w:r>
      <w:r>
        <w:t xml:space="preserve"> </w:t>
      </w:r>
      <w:r>
        <w:t xml:space="preserve">BIOS1100. Learning to program is generally considered difficult</w:t>
      </w:r>
      <w:r>
        <w:t xml:space="preserve"> </w:t>
      </w:r>
      <w:hyperlink r:id="rId28">
        <w:r>
          <w:rPr>
            <w:rStyle w:val="Hyperlink"/>
          </w:rPr>
          <w:t xml:space="preserve">(Guzdial, 2015; Jenkins, 2002; Robins et al.,</w:t>
        </w:r>
        <w:r>
          <w:rPr>
            <w:rStyle w:val="Hyperlink"/>
          </w:rPr>
          <w:t xml:space="preserve"> </w:t>
        </w:r>
        <w:r>
          <w:rPr>
            <w:rStyle w:val="Hyperlink"/>
          </w:rPr>
          <w:t xml:space="preserve">2003)</w:t>
        </w:r>
      </w:hyperlink>
      <w:r>
        <w:t xml:space="preserve">. Reducing cognitive</w:t>
      </w:r>
      <w:r>
        <w:t xml:space="preserve"> </w:t>
      </w:r>
      <w:r>
        <w:t xml:space="preserve">load for students then becomes an important goal. I have always felt</w:t>
      </w:r>
      <w:r>
        <w:t xml:space="preserve"> </w:t>
      </w:r>
      <w:r>
        <w:t xml:space="preserve">students can not learn programming from looking at a slide presentation</w:t>
      </w:r>
      <w:r>
        <w:t xml:space="preserve"> </w:t>
      </w:r>
      <w:r>
        <w:t xml:space="preserve">of programming concepts, and then asking them to start programming</w:t>
      </w:r>
      <w:r>
        <w:t xml:space="preserve"> </w:t>
      </w:r>
      <w:r>
        <w:t xml:space="preserve">themselves.I have experienced this approach myself at some time and it</w:t>
      </w:r>
      <w:r>
        <w:t xml:space="preserve"> </w:t>
      </w:r>
      <w:r>
        <w:t xml:space="preserve">did not work for me, nor did it seem a useful approach. One reason for</w:t>
      </w:r>
      <w:r>
        <w:t xml:space="preserve"> </w:t>
      </w:r>
      <w:r>
        <w:t xml:space="preserve">this is that this approach would result in a large cognitive load:</w:t>
      </w:r>
      <w:r>
        <w:t xml:space="preserve"> </w:t>
      </w:r>
      <w:r>
        <w:t xml:space="preserve">students would be required to retrieve the factual knowledge presented</w:t>
      </w:r>
      <w:r>
        <w:t xml:space="preserve"> </w:t>
      </w:r>
      <w:r>
        <w:t xml:space="preserve">during lecture and apply it to solve complex problems without any</w:t>
      </w:r>
      <w:r>
        <w:t xml:space="preserve"> </w:t>
      </w:r>
      <w:r>
        <w:t xml:space="preserve">guidance on how to approach the problem. There is thus a need for</w:t>
      </w:r>
      <w:r>
        <w:t xml:space="preserve"> </w:t>
      </w:r>
      <w:r>
        <w:t xml:space="preserve">alternative ways of teaching the fundamental building blocks of a</w:t>
      </w:r>
      <w:r>
        <w:t xml:space="preserve"> </w:t>
      </w:r>
      <w:r>
        <w:t xml:space="preserve">programming language. One that is more based on Guided Instruction</w:t>
      </w:r>
      <w:r>
        <w:t xml:space="preserve"> </w:t>
      </w:r>
      <w:hyperlink r:id="rId29">
        <w:r>
          <w:rPr>
            <w:rStyle w:val="Hyperlink"/>
          </w:rPr>
          <w:t xml:space="preserve">(Fisher and Frey, 2013)</w:t>
        </w:r>
      </w:hyperlink>
      <w:r>
        <w:t xml:space="preserve">.</w:t>
      </w:r>
    </w:p>
    <w:p>
      <w:pPr>
        <w:pStyle w:val="BodyText"/>
      </w:pPr>
      <w:r>
        <w:t xml:space="preserve">My main technique for reducing cognitive load when learning programming</w:t>
      </w:r>
      <w:r>
        <w:t xml:space="preserve"> </w:t>
      </w:r>
      <w:r>
        <w:t xml:space="preserve">is called Participatory Live Coding.</w:t>
      </w:r>
    </w:p>
    <w:p>
      <w:pPr>
        <w:pStyle w:val="BodyText"/>
      </w:pPr>
      <w:r>
        <w:rPr>
          <w:b/>
        </w:rPr>
        <w:t xml:space="preserve">Managing cognitive load in teaching programming: Participatory live coding</w:t>
      </w:r>
    </w:p>
    <w:p>
      <w:pPr>
        <w:pStyle w:val="BodyText"/>
      </w:pPr>
      <w:r>
        <w:t xml:space="preserve">Participatory live coding is a guided instructional technique</w:t>
      </w:r>
      <w:r>
        <w:t xml:space="preserve"> </w:t>
      </w:r>
      <w:r>
        <w:t xml:space="preserve">“</w:t>
      </w:r>
      <w:r>
        <w:t xml:space="preserve">in which</w:t>
      </w:r>
      <w:r>
        <w:t xml:space="preserve"> </w:t>
      </w:r>
      <w:r>
        <w:t xml:space="preserve">a teacher or instructor writes and narrates code out loud as they teach</w:t>
      </w:r>
      <w:r>
        <w:t xml:space="preserve"> </w:t>
      </w:r>
      <w:r>
        <w:t xml:space="preserve">and invites learners to join them by writing and executing the same</w:t>
      </w:r>
      <w:r>
        <w:t xml:space="preserve"> </w:t>
      </w:r>
      <w:r>
        <w:t xml:space="preserve">code</w:t>
      </w:r>
      <w:r>
        <w:t xml:space="preserve">”</w:t>
      </w:r>
      <w:r>
        <w:t xml:space="preserve"> </w:t>
      </w:r>
      <w:hyperlink r:id="rId30">
        <w:r>
          <w:rPr>
            <w:rStyle w:val="Hyperlink"/>
          </w:rPr>
          <w:t xml:space="preserve">(Nederbragt et al.,</w:t>
        </w:r>
        <w:r>
          <w:rPr>
            <w:rStyle w:val="Hyperlink"/>
          </w:rPr>
          <w:t xml:space="preserve"> </w:t>
        </w:r>
        <w:r>
          <w:rPr>
            <w:rStyle w:val="Hyperlink"/>
          </w:rPr>
          <w:t xml:space="preserve">2020)</w:t>
        </w:r>
      </w:hyperlink>
      <w:r>
        <w:t xml:space="preserve">. The instructor reads</w:t>
      </w:r>
      <w:r>
        <w:t xml:space="preserve"> </w:t>
      </w:r>
      <w:r>
        <w:t xml:space="preserve">what is being typed out loud, explaining the different elements and</w:t>
      </w:r>
      <w:r>
        <w:t xml:space="preserve"> </w:t>
      </w:r>
      <w:r>
        <w:t xml:space="preserve">principles. Teacher and students all execute the commands or program,</w:t>
      </w:r>
      <w:r>
        <w:t xml:space="preserve"> </w:t>
      </w:r>
      <w:r>
        <w:t xml:space="preserve">leading to an immediate evaluation of the results - hence the term</w:t>
      </w:r>
      <w:r>
        <w:t xml:space="preserve"> </w:t>
      </w:r>
      <w:r>
        <w:t xml:space="preserve">‘</w:t>
      </w:r>
      <w:r>
        <w:t xml:space="preserve">participatory</w:t>
      </w:r>
      <w:r>
        <w:t xml:space="preserve">’</w:t>
      </w:r>
      <w:r>
        <w:t xml:space="preserve">. Crucially, the session contains regular, often short,</w:t>
      </w:r>
      <w:r>
        <w:t xml:space="preserve"> </w:t>
      </w:r>
      <w:r>
        <w:t xml:space="preserve">exercises, where students are asked to solve a small relevant problem on</w:t>
      </w:r>
      <w:r>
        <w:t xml:space="preserve"> </w:t>
      </w:r>
      <w:r>
        <w:t xml:space="preserve">their own or in pairs or small groups.</w:t>
      </w:r>
    </w:p>
    <w:p>
      <w:pPr>
        <w:pStyle w:val="BodyText"/>
      </w:pPr>
      <w:r>
        <w:t xml:space="preserve">I am convinced that participatory live coding can help reduce this</w:t>
      </w:r>
      <w:r>
        <w:t xml:space="preserve"> </w:t>
      </w:r>
      <w:r>
        <w:t xml:space="preserve">cognitive load for students learning programming. This approach works</w:t>
      </w:r>
      <w:r>
        <w:t xml:space="preserve"> </w:t>
      </w:r>
      <w:r>
        <w:t xml:space="preserve">better than lecturing about programming, or relying on students reading</w:t>
      </w:r>
      <w:r>
        <w:t xml:space="preserve"> </w:t>
      </w:r>
      <w:r>
        <w:t xml:space="preserve">a textbook or compendium. What is taught is immediately applied and the</w:t>
      </w:r>
      <w:r>
        <w:t xml:space="preserve"> </w:t>
      </w:r>
      <w:r>
        <w:t xml:space="preserve">execution of the program being written provides immediate feedback. This</w:t>
      </w:r>
      <w:r>
        <w:t xml:space="preserve"> </w:t>
      </w:r>
      <w:r>
        <w:t xml:space="preserve">helps student couple programming code with its result. Students’</w:t>
      </w:r>
      <w:r>
        <w:t xml:space="preserve"> </w:t>
      </w:r>
      <w:r>
        <w:t xml:space="preserve">questions arising during the session can immediately be addressed.</w:t>
      </w:r>
      <w:r>
        <w:t xml:space="preserve"> </w:t>
      </w:r>
      <w:r>
        <w:t xml:space="preserve">During this form of guided instruction, students are shown not only what</w:t>
      </w:r>
      <w:r>
        <w:t xml:space="preserve"> </w:t>
      </w:r>
      <w:r>
        <w:t xml:space="preserve">to program and how each element works, but also how to program, i.e. how</w:t>
      </w:r>
      <w:r>
        <w:t xml:space="preserve"> </w:t>
      </w:r>
      <w:r>
        <w:t xml:space="preserve">to go from a problem formulation to a working solution (the thinking</w:t>
      </w:r>
      <w:r>
        <w:t xml:space="preserve"> </w:t>
      </w:r>
      <w:r>
        <w:t xml:space="preserve">process). It also slows the teacher down relative to using slides to</w:t>
      </w:r>
      <w:r>
        <w:t xml:space="preserve"> </w:t>
      </w:r>
      <w:r>
        <w:t xml:space="preserve">show the concepts and code, giving students more time to actively engage</w:t>
      </w:r>
      <w:r>
        <w:t xml:space="preserve"> </w:t>
      </w:r>
      <w:r>
        <w:t xml:space="preserve">with the material before moving on to the next concept. Interrupting the</w:t>
      </w:r>
      <w:r>
        <w:t xml:space="preserve"> </w:t>
      </w:r>
      <w:r>
        <w:t xml:space="preserve">live coding with exercises enables immediate practice using the</w:t>
      </w:r>
      <w:r>
        <w:t xml:space="preserve"> </w:t>
      </w:r>
      <w:r>
        <w:t xml:space="preserve">material.</w:t>
      </w:r>
    </w:p>
    <w:p>
      <w:pPr>
        <w:pStyle w:val="BodyText"/>
      </w:pPr>
      <w:r>
        <w:t xml:space="preserve">The main drawback of using this technique is that it takes time to</w:t>
      </w:r>
      <w:r>
        <w:t xml:space="preserve"> </w:t>
      </w:r>
      <w:r>
        <w:t xml:space="preserve">develop appropriate material and to teach it. Additionally, it does not</w:t>
      </w:r>
      <w:r>
        <w:t xml:space="preserve"> </w:t>
      </w:r>
      <w:r>
        <w:t xml:space="preserve">scale too well as a single student with a problem that keeps them from</w:t>
      </w:r>
      <w:r>
        <w:t xml:space="preserve"> </w:t>
      </w:r>
      <w:r>
        <w:t xml:space="preserve">following along and that takes some time to fix may hold up the entire</w:t>
      </w:r>
      <w:r>
        <w:t xml:space="preserve"> </w:t>
      </w:r>
      <w:r>
        <w:t xml:space="preserve">group. Finally, students may think that they learn enough by simply</w:t>
      </w:r>
      <w:r>
        <w:t xml:space="preserve"> </w:t>
      </w:r>
      <w:r>
        <w:t xml:space="preserve">following along. They should be made aware that to properly learn how to</w:t>
      </w:r>
      <w:r>
        <w:t xml:space="preserve"> </w:t>
      </w:r>
      <w:r>
        <w:t xml:space="preserve">program they should practice, for example by doing exercises.</w:t>
      </w:r>
    </w:p>
    <w:bookmarkEnd w:id="31"/>
    <w:bookmarkStart w:id="37" w:name="participatory-live-coding-in-bios1100"/>
    <w:p>
      <w:pPr>
        <w:pStyle w:val="Heading4"/>
      </w:pPr>
      <w:r>
        <w:t xml:space="preserve">Participatory live coding in BIOS1100</w:t>
      </w:r>
    </w:p>
    <w:p>
      <w:pPr>
        <w:pStyle w:val="FirstParagraph"/>
      </w:pPr>
      <w:r>
        <w:t xml:space="preserve">The first edition of BIOS1100 (2017) relied on the students using the</w:t>
      </w:r>
      <w:r>
        <w:t xml:space="preserve"> </w:t>
      </w:r>
      <w:r>
        <w:t xml:space="preserve">textbook for learning the programming concepts needed each week.</w:t>
      </w:r>
      <w:r>
        <w:t xml:space="preserve"> </w:t>
      </w:r>
      <w:r>
        <w:t xml:space="preserve">Programming was not taught during lectures for reasons described above.</w:t>
      </w:r>
      <w:r>
        <w:t xml:space="preserve"> </w:t>
      </w:r>
      <w:r>
        <w:t xml:space="preserve">Exercises were handed out during group work where students could</w:t>
      </w:r>
      <w:r>
        <w:t xml:space="preserve"> </w:t>
      </w:r>
      <w:r>
        <w:t xml:space="preserve">practice applying programming to simple biological problems. Two-thirds</w:t>
      </w:r>
      <w:r>
        <w:t xml:space="preserve"> </w:t>
      </w:r>
      <w:r>
        <w:t xml:space="preserve">into the semester it became clear that a significant group of students</w:t>
      </w:r>
      <w:r>
        <w:t xml:space="preserve"> </w:t>
      </w:r>
      <w:r>
        <w:t xml:space="preserve">did not master the Python programming, and were in danger of failing the</w:t>
      </w:r>
      <w:r>
        <w:t xml:space="preserve"> </w:t>
      </w:r>
      <w:r>
        <w:t xml:space="preserve">course. I then decided to not introduce any new Python material, but</w:t>
      </w:r>
      <w:r>
        <w:t xml:space="preserve"> </w:t>
      </w:r>
      <w:r>
        <w:t xml:space="preserve">instead offer some extra teaching using Participatory Live Coding. I had</w:t>
      </w:r>
      <w:r>
        <w:t xml:space="preserve"> </w:t>
      </w:r>
      <w:r>
        <w:t xml:space="preserve">learned this technique from being an instructor for Software Carpentry.</w:t>
      </w:r>
      <w:r>
        <w:t xml:space="preserve"> </w:t>
      </w:r>
      <w:r>
        <w:t xml:space="preserve">Software Carpentry, now of the global non-profit called</w:t>
      </w:r>
      <w:r>
        <w:t xml:space="preserve"> </w:t>
      </w:r>
      <w:r>
        <w:t xml:space="preserve">“</w:t>
      </w:r>
      <w:r>
        <w:t xml:space="preserve">The</w:t>
      </w:r>
      <w:r>
        <w:t xml:space="preserve"> </w:t>
      </w:r>
      <w:r>
        <w:t xml:space="preserve">Carpentries</w:t>
      </w:r>
      <w:r>
        <w:t xml:space="preserve">”</w:t>
      </w:r>
      <w:r>
        <w:t xml:space="preserve"> </w:t>
      </w:r>
      <w:r>
        <w:t xml:space="preserve">(</w:t>
      </w:r>
      <w:hyperlink r:id="rId32">
        <w:r>
          <w:rPr>
            <w:rStyle w:val="Hyperlink"/>
            <w:u w:val="single"/>
          </w:rPr>
          <w:t xml:space="preserve">https://carpentries.org</w:t>
        </w:r>
      </w:hyperlink>
      <w:r>
        <w:t xml:space="preserve">),</w:t>
      </w:r>
      <w:r>
        <w:t xml:space="preserve"> </w:t>
      </w:r>
      <w:r>
        <w:t xml:space="preserve">“</w:t>
      </w:r>
      <w:r>
        <w:t xml:space="preserve">teaches</w:t>
      </w:r>
      <w:r>
        <w:t xml:space="preserve"> </w:t>
      </w:r>
      <w:r>
        <w:t xml:space="preserve">researchers the computing skills they need to get more done in less time</w:t>
      </w:r>
      <w:r>
        <w:t xml:space="preserve"> </w:t>
      </w:r>
      <w:r>
        <w:t xml:space="preserve">and with less pain</w:t>
      </w:r>
      <w:r>
        <w:t xml:space="preserve">”</w:t>
      </w:r>
      <w:r>
        <w:t xml:space="preserve"> </w:t>
      </w:r>
      <w:r>
        <w:t xml:space="preserve">and is mostly aimed at researchers at the PhD and</w:t>
      </w:r>
      <w:r>
        <w:t xml:space="preserve"> </w:t>
      </w:r>
      <w:r>
        <w:t xml:space="preserve">postdoc level. Participatory live coding is the main method of teaching</w:t>
      </w:r>
      <w:r>
        <w:t xml:space="preserve"> </w:t>
      </w:r>
      <w:r>
        <w:t xml:space="preserve">in the two-day workshops, and it is part of the training and assessment</w:t>
      </w:r>
      <w:r>
        <w:t xml:space="preserve"> </w:t>
      </w:r>
      <w:r>
        <w:t xml:space="preserve">for becoming a certified instructor</w:t>
      </w:r>
      <w:r>
        <w:t xml:space="preserve"> </w:t>
      </w:r>
      <w:hyperlink r:id="rId33">
        <w:r>
          <w:rPr>
            <w:rStyle w:val="Hyperlink"/>
          </w:rPr>
          <w:t xml:space="preserve">(Wilson,</w:t>
        </w:r>
        <w:r>
          <w:rPr>
            <w:rStyle w:val="Hyperlink"/>
          </w:rPr>
          <w:t xml:space="preserve"> </w:t>
        </w:r>
        <w:r>
          <w:rPr>
            <w:rStyle w:val="Hyperlink"/>
          </w:rPr>
          <w:t xml:space="preserve">2019)</w:t>
        </w:r>
      </w:hyperlink>
    </w:p>
    <w:p>
      <w:pPr>
        <w:pStyle w:val="BodyText"/>
      </w:pPr>
      <w:r>
        <w:t xml:space="preserve">In BIOS1100, I thus offered sessions re-teaching the Python material</w:t>
      </w:r>
      <w:r>
        <w:t xml:space="preserve"> </w:t>
      </w:r>
      <w:r>
        <w:t xml:space="preserve">with Participatory Live Coding, with the effect that many students</w:t>
      </w:r>
      <w:r>
        <w:t xml:space="preserve"> </w:t>
      </w:r>
      <w:r>
        <w:t xml:space="preserve">reported that they now finally understood it.</w:t>
      </w:r>
    </w:p>
    <w:p>
      <w:pPr>
        <w:pStyle w:val="BodyText"/>
      </w:pPr>
      <w:r>
        <w:t xml:space="preserve">I had previously considered using Live Coding for BIOS1100, but felt it</w:t>
      </w:r>
      <w:r>
        <w:t xml:space="preserve"> </w:t>
      </w:r>
      <w:r>
        <w:t xml:space="preserve">would not scale to such a large group. The experience in 2017, and the</w:t>
      </w:r>
      <w:r>
        <w:t xml:space="preserve"> </w:t>
      </w:r>
      <w:r>
        <w:t xml:space="preserve">student’s feedback, convinced me that I had to find a way to adapt the</w:t>
      </w:r>
      <w:r>
        <w:t xml:space="preserve"> </w:t>
      </w:r>
      <w:r>
        <w:t xml:space="preserve">technique of Participatory Live Coding to a course with 200 students,</w:t>
      </w:r>
      <w:r>
        <w:t xml:space="preserve"> </w:t>
      </w:r>
      <w:r>
        <w:t xml:space="preserve">starting from the 2018 edition of BIOS1100. I decided that it should be</w:t>
      </w:r>
      <w:r>
        <w:t xml:space="preserve"> </w:t>
      </w:r>
      <w:r>
        <w:t xml:space="preserve">taught in small groups, not with the entire group of students, and that</w:t>
      </w:r>
      <w:r>
        <w:t xml:space="preserve"> </w:t>
      </w:r>
      <w:r>
        <w:t xml:space="preserve">I could not teach it all by myself. My solution was to develop a</w:t>
      </w:r>
      <w:r>
        <w:t xml:space="preserve"> </w:t>
      </w:r>
      <w:r>
        <w:t xml:space="preserve">completely new set of teaching materials to teach Python programming in</w:t>
      </w:r>
      <w:r>
        <w:t xml:space="preserve"> </w:t>
      </w:r>
      <w:r>
        <w:t xml:space="preserve">BIOS1100 using Participatory Live Coding, and train Teaching Assistants</w:t>
      </w:r>
      <w:r>
        <w:t xml:space="preserve"> </w:t>
      </w:r>
      <w:r>
        <w:t xml:space="preserve">to be able to teach using this technique. One of the things taught</w:t>
      </w:r>
      <w:r>
        <w:t xml:space="preserve"> </w:t>
      </w:r>
      <w:r>
        <w:t xml:space="preserve">during Instructor Training workshops for The Carpentries is</w:t>
      </w:r>
      <w:r>
        <w:t xml:space="preserve"> </w:t>
      </w:r>
      <w:r>
        <w:t xml:space="preserve">Participatory Live Coding. I am a certified Instructor Trainer for The</w:t>
      </w:r>
      <w:r>
        <w:t xml:space="preserve"> </w:t>
      </w:r>
      <w:r>
        <w:t xml:space="preserve">Carpentries, meaning I already had taught Participatory Live Coding to</w:t>
      </w:r>
      <w:r>
        <w:t xml:space="preserve"> </w:t>
      </w:r>
      <w:r>
        <w:t xml:space="preserve">incoming instructors. I reused the material developed by The Carpentries</w:t>
      </w:r>
      <w:r>
        <w:t xml:space="preserve"> </w:t>
      </w:r>
      <w:hyperlink r:id="rId34">
        <w:r>
          <w:rPr>
            <w:rStyle w:val="Hyperlink"/>
          </w:rPr>
          <w:t xml:space="preserve">(Erin Alison Becker et al.,</w:t>
        </w:r>
        <w:r>
          <w:rPr>
            <w:rStyle w:val="Hyperlink"/>
          </w:rPr>
          <w:t xml:space="preserve"> </w:t>
        </w:r>
        <w:r>
          <w:rPr>
            <w:rStyle w:val="Hyperlink"/>
          </w:rPr>
          <w:t xml:space="preserve">2019)</w:t>
        </w:r>
      </w:hyperlink>
      <w:r>
        <w:t xml:space="preserve"> </w:t>
      </w:r>
      <w:r>
        <w:t xml:space="preserve">to train enough</w:t>
      </w:r>
      <w:r>
        <w:t xml:space="preserve"> </w:t>
      </w:r>
      <w:r>
        <w:t xml:space="preserve">Teaching Assistants so that they could teach Python using PLC during the</w:t>
      </w:r>
      <w:r>
        <w:t xml:space="preserve"> </w:t>
      </w:r>
      <w:r>
        <w:t xml:space="preserve">group sessions.</w:t>
      </w:r>
    </w:p>
    <w:p>
      <w:pPr>
        <w:pStyle w:val="BodyText"/>
      </w:pPr>
      <w:r>
        <w:t xml:space="preserve">The results were that students in 2018 had a much greater confidence in</w:t>
      </w:r>
      <w:r>
        <w:t xml:space="preserve"> </w:t>
      </w:r>
      <w:r>
        <w:t xml:space="preserve">Python programming. To start learning programming using Live Coding</w:t>
      </w:r>
      <w:r>
        <w:t xml:space="preserve"> </w:t>
      </w:r>
      <w:r>
        <w:t xml:space="preserve">helped them overcome the initial barrier (sometimes fear) of</w:t>
      </w:r>
      <w:r>
        <w:t xml:space="preserve"> </w:t>
      </w:r>
      <w:r>
        <w:t xml:space="preserve">programming, and led to a feeling of mastery early on. Students really</w:t>
      </w:r>
      <w:r>
        <w:t xml:space="preserve"> </w:t>
      </w:r>
      <w:r>
        <w:t xml:space="preserve">loved the Live Coding (</w:t>
      </w:r>
      <w:r>
        <w:t xml:space="preserve">‘</w:t>
      </w:r>
      <w:r>
        <w:t xml:space="preserve">samkoding</w:t>
      </w:r>
      <w:r>
        <w:t xml:space="preserve">’</w:t>
      </w:r>
      <w:r>
        <w:t xml:space="preserve"> </w:t>
      </w:r>
      <w:r>
        <w:t xml:space="preserve">in Norwegian), some reported they</w:t>
      </w:r>
      <w:r>
        <w:t xml:space="preserve"> </w:t>
      </w:r>
      <w:r>
        <w:t xml:space="preserve">learned the most there. A drawback of this approach was that much,</w:t>
      </w:r>
      <w:r>
        <w:t xml:space="preserve"> </w:t>
      </w:r>
      <w:r>
        <w:t xml:space="preserve">sometimes all of the 4 hour group sessions were used doing Live Coding</w:t>
      </w:r>
      <w:r>
        <w:t xml:space="preserve"> </w:t>
      </w:r>
      <w:r>
        <w:t xml:space="preserve">with the students. Too little time was left for students working on</w:t>
      </w:r>
      <w:r>
        <w:t xml:space="preserve"> </w:t>
      </w:r>
      <w:r>
        <w:t xml:space="preserve">their own with exercises. A master student who studied the BIOS1100</w:t>
      </w:r>
      <w:r>
        <w:t xml:space="preserve"> </w:t>
      </w:r>
      <w:r>
        <w:t xml:space="preserve">students for his project that year concluded that students lacked good</w:t>
      </w:r>
      <w:r>
        <w:t xml:space="preserve"> </w:t>
      </w:r>
      <w:r>
        <w:t xml:space="preserve">problem solving skills because of this</w:t>
      </w:r>
      <w:r>
        <w:t xml:space="preserve"> </w:t>
      </w:r>
      <w:hyperlink r:id="rId35">
        <w:r>
          <w:rPr>
            <w:rStyle w:val="Hyperlink"/>
          </w:rPr>
          <w:t xml:space="preserve">(Håland,</w:t>
        </w:r>
        <w:r>
          <w:rPr>
            <w:rStyle w:val="Hyperlink"/>
          </w:rPr>
          <w:t xml:space="preserve"> </w:t>
        </w:r>
        <w:r>
          <w:rPr>
            <w:rStyle w:val="Hyperlink"/>
          </w:rPr>
          <w:t xml:space="preserve">2019)</w:t>
        </w:r>
      </w:hyperlink>
      <w:r>
        <w:t xml:space="preserve">.</w:t>
      </w:r>
    </w:p>
    <w:p>
      <w:pPr>
        <w:pStyle w:val="BodyText"/>
      </w:pPr>
      <w:r>
        <w:t xml:space="preserve">In other words, while in 2017, we did not help students enough with</w:t>
      </w:r>
      <w:r>
        <w:t xml:space="preserve"> </w:t>
      </w:r>
      <w:r>
        <w:t xml:space="preserve">learning programming, in 2018 we helped them too much and did not</w:t>
      </w:r>
      <w:r>
        <w:t xml:space="preserve"> </w:t>
      </w:r>
      <w:r>
        <w:t xml:space="preserve">challenge them enough to apply what they learned.</w:t>
      </w:r>
    </w:p>
    <w:p>
      <w:pPr>
        <w:pStyle w:val="BodyText"/>
      </w:pPr>
      <w:r>
        <w:t xml:space="preserve">From 2019 onwards, the Participatory Live Coding was moved to voluntary</w:t>
      </w:r>
      <w:r>
        <w:t xml:space="preserve"> </w:t>
      </w:r>
      <w:r>
        <w:t xml:space="preserve">sessions, two hours each week. Students new to Python were strongly</w:t>
      </w:r>
      <w:r>
        <w:t xml:space="preserve"> </w:t>
      </w:r>
      <w:r>
        <w:t xml:space="preserve">encouraged to participate. In group sessions, organised activities led</w:t>
      </w:r>
      <w:r>
        <w:t xml:space="preserve"> </w:t>
      </w:r>
      <w:r>
        <w:t xml:space="preserve">by Teaching Assistants were limited to the first two hours, which left</w:t>
      </w:r>
      <w:r>
        <w:t xml:space="preserve"> </w:t>
      </w:r>
      <w:r>
        <w:t xml:space="preserve">two hours for students working on their own solving problems. During the</w:t>
      </w:r>
      <w:r>
        <w:t xml:space="preserve"> </w:t>
      </w:r>
      <w:r>
        <w:t xml:space="preserve">first two hours, some Live Coding was done to further explain concepts,</w:t>
      </w:r>
      <w:r>
        <w:t xml:space="preserve"> </w:t>
      </w:r>
      <w:r>
        <w:t xml:space="preserve">or for so-called worked examples. Worked examples</w:t>
      </w:r>
      <w:r>
        <w:t xml:space="preserve"> </w:t>
      </w:r>
      <w:r>
        <w:t xml:space="preserve">“</w:t>
      </w:r>
      <w:r>
        <w:t xml:space="preserve">provide a full</w:t>
      </w:r>
      <w:r>
        <w:t xml:space="preserve"> </w:t>
      </w:r>
      <w:r>
        <w:t xml:space="preserve">problem solution that learners must carefully study</w:t>
      </w:r>
      <w:r>
        <w:t xml:space="preserve">”</w:t>
      </w:r>
      <w:r>
        <w:t xml:space="preserve"> </w:t>
      </w:r>
      <w:hyperlink r:id="rId36">
        <w:r>
          <w:rPr>
            <w:rStyle w:val="Hyperlink"/>
          </w:rPr>
          <w:t xml:space="preserve">(Sweller et al.,</w:t>
        </w:r>
        <w:r>
          <w:rPr>
            <w:rStyle w:val="Hyperlink"/>
          </w:rPr>
          <w:t xml:space="preserve"> </w:t>
        </w:r>
        <w:r>
          <w:rPr>
            <w:rStyle w:val="Hyperlink"/>
          </w:rPr>
          <w:t xml:space="preserve">2019)</w:t>
        </w:r>
      </w:hyperlink>
      <w:r>
        <w:t xml:space="preserve">, and are another</w:t>
      </w:r>
      <w:r>
        <w:t xml:space="preserve"> </w:t>
      </w:r>
      <w:r>
        <w:t xml:space="preserve">technique for reducing cognitive load.</w:t>
      </w:r>
    </w:p>
    <w:p>
      <w:pPr>
        <w:pStyle w:val="BodyText"/>
      </w:pPr>
      <w:r>
        <w:t xml:space="preserve">Participatory Live Coding was what made introducing Python programming</w:t>
      </w:r>
      <w:r>
        <w:t xml:space="preserve"> </w:t>
      </w:r>
      <w:r>
        <w:t xml:space="preserve">to new Bioscience students possible. I believe this technique can be</w:t>
      </w:r>
      <w:r>
        <w:t xml:space="preserve"> </w:t>
      </w:r>
      <w:r>
        <w:t xml:space="preserve">used in many settings where students who traditionally do not have to</w:t>
      </w:r>
      <w:r>
        <w:t xml:space="preserve"> </w:t>
      </w:r>
      <w:r>
        <w:t xml:space="preserve">learn programming are introduced to it.</w:t>
      </w:r>
    </w:p>
    <w:bookmarkEnd w:id="37"/>
    <w:bookmarkEnd w:id="38"/>
    <w:bookmarkStart w:id="45" w:name="formative-assessment"/>
    <w:p>
      <w:pPr>
        <w:pStyle w:val="Heading3"/>
      </w:pPr>
      <w:r>
        <w:t xml:space="preserve">Formative Assessment</w:t>
      </w:r>
    </w:p>
    <w:bookmarkStart w:id="41" w:name="theoretical-background-1"/>
    <w:p>
      <w:pPr>
        <w:pStyle w:val="Heading4"/>
      </w:pPr>
      <w:r>
        <w:t xml:space="preserve">Theoretical background</w:t>
      </w:r>
    </w:p>
    <w:p>
      <w:pPr>
        <w:pStyle w:val="FirstParagraph"/>
      </w:pPr>
      <w:r>
        <w:t xml:space="preserve">It would be a mistake to assume that students have learned the thing you</w:t>
      </w:r>
      <w:r>
        <w:t xml:space="preserve"> </w:t>
      </w:r>
      <w:r>
        <w:t xml:space="preserve">just presented to them. Formative assessment is concerned with informing</w:t>
      </w:r>
      <w:r>
        <w:t xml:space="preserve"> </w:t>
      </w:r>
      <w:r>
        <w:t xml:space="preserve">both the teacher and the learner about how much they understand about a</w:t>
      </w:r>
      <w:r>
        <w:t xml:space="preserve"> </w:t>
      </w:r>
      <w:r>
        <w:t xml:space="preserve">topic, and discover any misunderstandings. This allows for addressing</w:t>
      </w:r>
      <w:r>
        <w:t xml:space="preserve"> </w:t>
      </w:r>
      <w:r>
        <w:t xml:space="preserve">misunderstandings promptly, which helps learners to progress through the</w:t>
      </w:r>
      <w:r>
        <w:t xml:space="preserve"> </w:t>
      </w:r>
      <w:r>
        <w:t xml:space="preserve">material. Formative assessment is not graded, although sometimes</w:t>
      </w:r>
      <w:r>
        <w:t xml:space="preserve"> </w:t>
      </w:r>
      <w:r>
        <w:t xml:space="preserve">teachers make participation count towards being able to pass a course.</w:t>
      </w:r>
      <w:r>
        <w:t xml:space="preserve"> </w:t>
      </w:r>
      <w:r>
        <w:t xml:space="preserve">Note that graded assignments are what is called part of a course’s</w:t>
      </w:r>
      <w:r>
        <w:t xml:space="preserve"> </w:t>
      </w:r>
      <w:r>
        <w:t xml:space="preserve">summative assessment. Ideally, formative assessment can be done quickly</w:t>
      </w:r>
      <w:r>
        <w:t xml:space="preserve"> </w:t>
      </w:r>
      <w:r>
        <w:t xml:space="preserve">and in an easy way for students and teachers to participate and see the</w:t>
      </w:r>
      <w:r>
        <w:t xml:space="preserve"> </w:t>
      </w:r>
      <w:r>
        <w:t xml:space="preserve">results.</w:t>
      </w:r>
    </w:p>
    <w:p>
      <w:pPr>
        <w:pStyle w:val="BodyText"/>
      </w:pPr>
      <w:r>
        <w:t xml:space="preserve">There are many forms for formative assessment, but a very common one is</w:t>
      </w:r>
      <w:r>
        <w:t xml:space="preserve"> </w:t>
      </w:r>
      <w:r>
        <w:t xml:space="preserve">multiple Choice Questions. A well-designed Choice Question poses a</w:t>
      </w:r>
      <w:r>
        <w:t xml:space="preserve"> </w:t>
      </w:r>
      <w:r>
        <w:t xml:space="preserve">problem with one or more correct, and multiple incorrect answers,</w:t>
      </w:r>
      <w:r>
        <w:t xml:space="preserve"> </w:t>
      </w:r>
      <w:r>
        <w:t xml:space="preserve">so-called distractors. Ideally, distractors should not be too obviously</w:t>
      </w:r>
      <w:r>
        <w:t xml:space="preserve"> </w:t>
      </w:r>
      <w:r>
        <w:t xml:space="preserve">wrong, but rather be indicative of possible misconceptions.</w:t>
      </w:r>
    </w:p>
    <w:p>
      <w:pPr>
        <w:pStyle w:val="BodyText"/>
      </w:pPr>
      <w:r>
        <w:rPr>
          <w:b/>
        </w:rPr>
        <w:t xml:space="preserve">Formative assessment combined with Peer Instruction</w:t>
      </w:r>
    </w:p>
    <w:p>
      <w:pPr>
        <w:pStyle w:val="BodyText"/>
      </w:pPr>
      <w:r>
        <w:t xml:space="preserve">Originally created by Eric Mazur at Harvard</w:t>
      </w:r>
      <w:r>
        <w:t xml:space="preserve"> </w:t>
      </w:r>
      <w:hyperlink r:id="rId39">
        <w:r>
          <w:rPr>
            <w:rStyle w:val="Hyperlink"/>
          </w:rPr>
          <w:t xml:space="preserve">(Mazur,</w:t>
        </w:r>
        <w:r>
          <w:rPr>
            <w:rStyle w:val="Hyperlink"/>
          </w:rPr>
          <w:t xml:space="preserve"> </w:t>
        </w:r>
        <w:r>
          <w:rPr>
            <w:rStyle w:val="Hyperlink"/>
          </w:rPr>
          <w:t xml:space="preserve">1997)</w:t>
        </w:r>
      </w:hyperlink>
      <w:r>
        <w:t xml:space="preserve">, Peer Instruction is</w:t>
      </w:r>
      <w:r>
        <w:t xml:space="preserve"> </w:t>
      </w:r>
      <w:r>
        <w:t xml:space="preserve">an evidence-based method where students are actively discussing the</w:t>
      </w:r>
      <w:r>
        <w:t xml:space="preserve"> </w:t>
      </w:r>
      <w:r>
        <w:t xml:space="preserve">material amongst themselves based on prompts provided by the teacher. By</w:t>
      </w:r>
      <w:r>
        <w:t xml:space="preserve"> </w:t>
      </w:r>
      <w:r>
        <w:t xml:space="preserve">asking students to reflect on course material together in their own</w:t>
      </w:r>
      <w:r>
        <w:t xml:space="preserve"> </w:t>
      </w:r>
      <w:r>
        <w:t xml:space="preserve">words, a student that just understood the material is able to explain it</w:t>
      </w:r>
      <w:r>
        <w:t xml:space="preserve"> </w:t>
      </w:r>
      <w:r>
        <w:t xml:space="preserve">in a way that matches better a student that almost understands the</w:t>
      </w:r>
      <w:r>
        <w:t xml:space="preserve"> </w:t>
      </w:r>
      <w:r>
        <w:t xml:space="preserve">material, than the way a teacher would explain it. Thus,</w:t>
      </w:r>
      <w:r>
        <w:t xml:space="preserve"> </w:t>
      </w:r>
      <w:r>
        <w:rPr>
          <w:i/>
        </w:rPr>
        <w:t xml:space="preserve">Peers</w:t>
      </w:r>
      <w:r>
        <w:t xml:space="preserve"> </w:t>
      </w:r>
      <w:r>
        <w:t xml:space="preserve">are</w:t>
      </w:r>
      <w:r>
        <w:t xml:space="preserve"> </w:t>
      </w:r>
      <w:r>
        <w:rPr>
          <w:i/>
        </w:rPr>
        <w:t xml:space="preserve">Instructing</w:t>
      </w:r>
      <w:r>
        <w:t xml:space="preserve"> </w:t>
      </w:r>
      <w:r>
        <w:t xml:space="preserve">themselves.</w:t>
      </w:r>
    </w:p>
    <w:p>
      <w:pPr>
        <w:pStyle w:val="BodyText"/>
      </w:pPr>
      <w:r>
        <w:t xml:space="preserve">Often, Peer Instruction is combined with formative assessment through</w:t>
      </w:r>
      <w:r>
        <w:t xml:space="preserve"> </w:t>
      </w:r>
      <w:r>
        <w:t xml:space="preserve">Multiple Choice Questions. There are different approaches on how to do</w:t>
      </w:r>
      <w:r>
        <w:t xml:space="preserve"> </w:t>
      </w:r>
      <w:r>
        <w:t xml:space="preserve">this, but commonly, a Multiple Choice Question is posed and students</w:t>
      </w:r>
      <w:r>
        <w:t xml:space="preserve"> </w:t>
      </w:r>
      <w:r>
        <w:t xml:space="preserve">consider the different answers for themselves. They then vote for the</w:t>
      </w:r>
      <w:r>
        <w:t xml:space="preserve"> </w:t>
      </w:r>
      <w:r>
        <w:t xml:space="preserve">answer they think is the correct one. The tally of votes is shown,</w:t>
      </w:r>
      <w:r>
        <w:t xml:space="preserve"> </w:t>
      </w:r>
      <w:r>
        <w:t xml:space="preserve">without revealing the correct answer. If there is a spread of answers</w:t>
      </w:r>
      <w:r>
        <w:t xml:space="preserve"> </w:t>
      </w:r>
      <w:r>
        <w:t xml:space="preserve">among the correct one and one or more of the distractors, students are</w:t>
      </w:r>
      <w:r>
        <w:t xml:space="preserve"> </w:t>
      </w:r>
      <w:r>
        <w:t xml:space="preserve">asked to discuss the question in pairs or small groups. They then vote</w:t>
      </w:r>
      <w:r>
        <w:t xml:space="preserve"> </w:t>
      </w:r>
      <w:r>
        <w:t xml:space="preserve">again (individually, not as a group). More than often, the results show</w:t>
      </w:r>
      <w:r>
        <w:t xml:space="preserve"> </w:t>
      </w:r>
      <w:r>
        <w:t xml:space="preserve">many more students converging on the correct answer. If needed or</w:t>
      </w:r>
      <w:r>
        <w:t xml:space="preserve"> </w:t>
      </w:r>
      <w:r>
        <w:t xml:space="preserve">desired, the teacher can go over the different answers and explain how</w:t>
      </w:r>
      <w:r>
        <w:t xml:space="preserve"> </w:t>
      </w:r>
      <w:r>
        <w:t xml:space="preserve">they are right or wrong.</w:t>
      </w:r>
    </w:p>
    <w:p>
      <w:pPr>
        <w:pStyle w:val="BodyText"/>
      </w:pPr>
      <w:r>
        <w:t xml:space="preserve">Peer instruction has also been studied in the context of programming,</w:t>
      </w:r>
      <w:r>
        <w:t xml:space="preserve"> </w:t>
      </w:r>
      <w:r>
        <w:t xml:space="preserve">with positive results on student learning</w:t>
      </w:r>
      <w:r>
        <w:t xml:space="preserve"> </w:t>
      </w:r>
      <w:hyperlink r:id="rId40">
        <w:r>
          <w:rPr>
            <w:rStyle w:val="Hyperlink"/>
          </w:rPr>
          <w:t xml:space="preserve">(Crouch and Mazur, 2001;</w:t>
        </w:r>
        <w:r>
          <w:rPr>
            <w:rStyle w:val="Hyperlink"/>
          </w:rPr>
          <w:t xml:space="preserve"> </w:t>
        </w:r>
        <w:r>
          <w:rPr>
            <w:rStyle w:val="Hyperlink"/>
          </w:rPr>
          <w:t xml:space="preserve">Porter et al., 2013, 2016)</w:t>
        </w:r>
      </w:hyperlink>
      <w:r>
        <w:t xml:space="preserve">.</w:t>
      </w:r>
    </w:p>
    <w:bookmarkEnd w:id="41"/>
    <w:bookmarkStart w:id="42" w:name="what-does-this-mean-for-bios1100-1"/>
    <w:p>
      <w:pPr>
        <w:pStyle w:val="Heading4"/>
      </w:pPr>
      <w:r>
        <w:t xml:space="preserve">What does this mean for BIOS1100?</w:t>
      </w:r>
    </w:p>
    <w:p>
      <w:pPr>
        <w:pStyle w:val="FirstParagraph"/>
      </w:pPr>
      <w:r>
        <w:t xml:space="preserve">Also in BIOS1100 there is a need to investigate student learning and</w:t>
      </w:r>
      <w:r>
        <w:t xml:space="preserve"> </w:t>
      </w:r>
      <w:r>
        <w:t xml:space="preserve">check for misunderstandings. This can be partly achieved by Teaching</w:t>
      </w:r>
      <w:r>
        <w:t xml:space="preserve"> </w:t>
      </w:r>
      <w:r>
        <w:t xml:space="preserve">Assistants helping students during group work, and by studying the</w:t>
      </w:r>
      <w:r>
        <w:t xml:space="preserve"> </w:t>
      </w:r>
      <w:r>
        <w:t xml:space="preserve">obligatory assignments students hand in during the course. But, also the</w:t>
      </w:r>
      <w:r>
        <w:t xml:space="preserve"> </w:t>
      </w:r>
      <w:r>
        <w:t xml:space="preserve">technique of Peer Instruction through Multiple Choice Questions is an</w:t>
      </w:r>
      <w:r>
        <w:t xml:space="preserve"> </w:t>
      </w:r>
      <w:r>
        <w:t xml:space="preserve">ideal addition to this.</w:t>
      </w:r>
    </w:p>
    <w:p>
      <w:pPr>
        <w:pStyle w:val="BodyText"/>
      </w:pPr>
      <w:r>
        <w:t xml:space="preserve">Teaching Assistants are a vital resource for student learning. In</w:t>
      </w:r>
      <w:r>
        <w:t xml:space="preserve"> </w:t>
      </w:r>
      <w:r>
        <w:t xml:space="preserve">BIOS1100, they have the most direct contact with students (during the 4</w:t>
      </w:r>
      <w:r>
        <w:t xml:space="preserve"> </w:t>
      </w:r>
      <w:r>
        <w:t xml:space="preserve">hours group sessions and the non-compulsory live coding sessions). This</w:t>
      </w:r>
      <w:r>
        <w:t xml:space="preserve"> </w:t>
      </w:r>
      <w:r>
        <w:t xml:space="preserve">means that they have a lot of experience that could inform me as a</w:t>
      </w:r>
      <w:r>
        <w:t xml:space="preserve"> </w:t>
      </w:r>
      <w:r>
        <w:t xml:space="preserve">teacher about student progress and misunderstandings. The challenge is</w:t>
      </w:r>
      <w:r>
        <w:t xml:space="preserve"> </w:t>
      </w:r>
      <w:r>
        <w:t xml:space="preserve">then how to ensure this information reaches me as a teacher, in other</w:t>
      </w:r>
      <w:r>
        <w:t xml:space="preserve"> </w:t>
      </w:r>
      <w:r>
        <w:t xml:space="preserve">words, how to implement formative assessment through Teaching</w:t>
      </w:r>
      <w:r>
        <w:t xml:space="preserve"> </w:t>
      </w:r>
      <w:r>
        <w:t xml:space="preserve">Assistants.</w:t>
      </w:r>
    </w:p>
    <w:bookmarkEnd w:id="42"/>
    <w:bookmarkStart w:id="44" w:name="practical-implementation"/>
    <w:p>
      <w:pPr>
        <w:pStyle w:val="Heading4"/>
      </w:pPr>
      <w:r>
        <w:t xml:space="preserve">Practical implementation</w:t>
      </w:r>
    </w:p>
    <w:p>
      <w:pPr>
        <w:pStyle w:val="FirstParagraph"/>
      </w:pPr>
      <w:r>
        <w:t xml:space="preserve">I use the following Formative Assessment techniques in BIOS1100:</w:t>
      </w:r>
    </w:p>
    <w:p>
      <w:pPr>
        <w:pStyle w:val="BodyText"/>
      </w:pPr>
      <w:r>
        <w:rPr>
          <w:b/>
        </w:rPr>
        <w:t xml:space="preserve">Multiple Choice Questions and peer Instruction</w:t>
      </w:r>
    </w:p>
    <w:p>
      <w:pPr>
        <w:pStyle w:val="BodyText"/>
      </w:pPr>
      <w:r>
        <w:t xml:space="preserve">I have written a set of around hundred Multiple Choice Questions for</w:t>
      </w:r>
      <w:r>
        <w:t xml:space="preserve"> </w:t>
      </w:r>
      <w:r>
        <w:t xml:space="preserve">BIOS1100. Some of these are based on common misconceptions I found in</w:t>
      </w:r>
      <w:r>
        <w:t xml:space="preserve"> </w:t>
      </w:r>
      <w:r>
        <w:t xml:space="preserve">the scientific literature. Often, when I observe students displaying a</w:t>
      </w:r>
      <w:r>
        <w:t xml:space="preserve"> </w:t>
      </w:r>
      <w:r>
        <w:t xml:space="preserve">misconception, or are told about one by the Teaching Assistants, I use</w:t>
      </w:r>
      <w:r>
        <w:t xml:space="preserve"> </w:t>
      </w:r>
      <w:r>
        <w:t xml:space="preserve">that as inspiration for writing new ones.</w:t>
      </w:r>
    </w:p>
    <w:p>
      <w:pPr>
        <w:pStyle w:val="BodyText"/>
      </w:pPr>
      <w:r>
        <w:t xml:space="preserve">I have used Multiple Choice Questions, through the online Student</w:t>
      </w:r>
      <w:r>
        <w:t xml:space="preserve"> </w:t>
      </w:r>
      <w:r>
        <w:t xml:space="preserve">Response System Mentimeter</w:t>
      </w:r>
      <w:r>
        <w:t xml:space="preserve"> </w:t>
      </w:r>
      <w:r>
        <w:t xml:space="preserve">(</w:t>
      </w:r>
      <w:hyperlink r:id="rId43">
        <w:r>
          <w:rPr>
            <w:rStyle w:val="Hyperlink"/>
            <w:u w:val="single"/>
          </w:rPr>
          <w:t xml:space="preserve">https://mentimeter.com</w:t>
        </w:r>
      </w:hyperlink>
      <w:r>
        <w:t xml:space="preserve">), during</w:t>
      </w:r>
      <w:r>
        <w:t xml:space="preserve"> </w:t>
      </w:r>
      <w:r>
        <w:t xml:space="preserve">lectures and group work. I always combine this with Peer Instruction,</w:t>
      </w:r>
      <w:r>
        <w:t xml:space="preserve"> </w:t>
      </w:r>
      <w:r>
        <w:t xml:space="preserve">using the approach described above. I regularly observe a mix between</w:t>
      </w:r>
      <w:r>
        <w:t xml:space="preserve"> </w:t>
      </w:r>
      <w:r>
        <w:t xml:space="preserve">questions that are</w:t>
      </w:r>
      <w:r>
        <w:t xml:space="preserve"> </w:t>
      </w:r>
      <w:r>
        <w:t xml:space="preserve">‘</w:t>
      </w:r>
      <w:r>
        <w:t xml:space="preserve">too simple</w:t>
      </w:r>
      <w:r>
        <w:t xml:space="preserve">’</w:t>
      </w:r>
      <w:r>
        <w:t xml:space="preserve"> </w:t>
      </w:r>
      <w:r>
        <w:t xml:space="preserve">(a large majority of students get it</w:t>
      </w:r>
      <w:r>
        <w:t xml:space="preserve"> </w:t>
      </w:r>
      <w:r>
        <w:t xml:space="preserve">right at the first try) and questions that reveal a misunderstanding in</w:t>
      </w:r>
      <w:r>
        <w:t xml:space="preserve"> </w:t>
      </w:r>
      <w:r>
        <w:t xml:space="preserve">a significant proportion of students, that then gets largely resolved in</w:t>
      </w:r>
      <w:r>
        <w:t xml:space="preserve"> </w:t>
      </w:r>
      <w:r>
        <w:t xml:space="preserve">the group discussion. Students and Teaching Assistants really like the</w:t>
      </w:r>
      <w:r>
        <w:t xml:space="preserve"> </w:t>
      </w:r>
      <w:r>
        <w:t xml:space="preserve">“</w:t>
      </w:r>
      <w:r>
        <w:t xml:space="preserve">Menti’s</w:t>
      </w:r>
      <w:r>
        <w:t xml:space="preserve">”</w:t>
      </w:r>
      <w:r>
        <w:t xml:space="preserve">, as they are fondly called. It is an easy form of Active</w:t>
      </w:r>
      <w:r>
        <w:t xml:space="preserve"> </w:t>
      </w:r>
      <w:r>
        <w:t xml:space="preserve">Learning that helps create a dynamic group session or lecture. A</w:t>
      </w:r>
      <w:r>
        <w:t xml:space="preserve"> </w:t>
      </w:r>
      <w:r>
        <w:t xml:space="preserve">drawback is that executing Multiple Choice Questions take time. I</w:t>
      </w:r>
      <w:r>
        <w:t xml:space="preserve"> </w:t>
      </w:r>
      <w:r>
        <w:t xml:space="preserve">usually use no more than 4 questions, and those easily take up half an</w:t>
      </w:r>
      <w:r>
        <w:t xml:space="preserve"> </w:t>
      </w:r>
      <w:r>
        <w:t xml:space="preserve">hour or more. Ideally, I would be able to always see the tally of votes</w:t>
      </w:r>
      <w:r>
        <w:t xml:space="preserve"> </w:t>
      </w:r>
      <w:r>
        <w:t xml:space="preserve">for all questions to be able to filter out the ones that are too easy</w:t>
      </w:r>
      <w:r>
        <w:t xml:space="preserve"> </w:t>
      </w:r>
      <w:r>
        <w:t xml:space="preserve">for next time, but is it challenging to collect that data from all</w:t>
      </w:r>
      <w:r>
        <w:t xml:space="preserve"> </w:t>
      </w:r>
      <w:r>
        <w:t xml:space="preserve">Teaching Assistants.</w:t>
      </w:r>
    </w:p>
    <w:p>
      <w:pPr>
        <w:pStyle w:val="BodyText"/>
      </w:pPr>
      <w:r>
        <w:t xml:space="preserve">It is fairly straightforward to adopt Multiple Choice Questions to an</w:t>
      </w:r>
      <w:r>
        <w:t xml:space="preserve"> </w:t>
      </w:r>
      <w:r>
        <w:t xml:space="preserve">online teaching setting, provided the platform used allows students to</w:t>
      </w:r>
      <w:r>
        <w:t xml:space="preserve"> </w:t>
      </w:r>
      <w:r>
        <w:t xml:space="preserve">work in small groups (for example, in so-called Breakout Rooms that</w:t>
      </w:r>
      <w:r>
        <w:t xml:space="preserve"> </w:t>
      </w:r>
      <w:r>
        <w:t xml:space="preserve">tools like Zoom offer). In my experience, this works best if the</w:t>
      </w:r>
      <w:r>
        <w:t xml:space="preserve"> </w:t>
      </w:r>
      <w:r>
        <w:t xml:space="preserve">students in these groups know each other from before, otherwise it is</w:t>
      </w:r>
      <w:r>
        <w:t xml:space="preserve"> </w:t>
      </w:r>
      <w:r>
        <w:t xml:space="preserve">much more challenging to get them to discuss the question.</w:t>
      </w:r>
    </w:p>
    <w:p>
      <w:pPr>
        <w:pStyle w:val="BodyText"/>
      </w:pPr>
      <w:r>
        <w:rPr>
          <w:b/>
        </w:rPr>
        <w:t xml:space="preserve">Obligatory assignments</w:t>
      </w:r>
    </w:p>
    <w:p>
      <w:pPr>
        <w:pStyle w:val="BodyText"/>
      </w:pPr>
      <w:r>
        <w:t xml:space="preserve">In BIOS1100, students hand in 5 obligatory assignments spread evenly</w:t>
      </w:r>
      <w:r>
        <w:t xml:space="preserve"> </w:t>
      </w:r>
      <w:r>
        <w:t xml:space="preserve">throughout the course. These are meant to ensure students work with the</w:t>
      </w:r>
      <w:r>
        <w:t xml:space="preserve"> </w:t>
      </w:r>
      <w:r>
        <w:t xml:space="preserve">material throughout the course. The assignments are deliberately modeled</w:t>
      </w:r>
      <w:r>
        <w:t xml:space="preserve"> </w:t>
      </w:r>
      <w:r>
        <w:t xml:space="preserve">after exam problems, so as to help prepare students for the exam. These</w:t>
      </w:r>
      <w:r>
        <w:t xml:space="preserve"> </w:t>
      </w:r>
      <w:r>
        <w:t xml:space="preserve">“</w:t>
      </w:r>
      <w:r>
        <w:t xml:space="preserve">Oblig’s</w:t>
      </w:r>
      <w:r>
        <w:t xml:space="preserve">”</w:t>
      </w:r>
      <w:r>
        <w:t xml:space="preserve"> </w:t>
      </w:r>
      <w:r>
        <w:t xml:space="preserve">are graded pass/fail by the Teaching Assistants, and students</w:t>
      </w:r>
      <w:r>
        <w:t xml:space="preserve"> </w:t>
      </w:r>
      <w:r>
        <w:t xml:space="preserve">have to pass 80% of them to be able to take the exam. When students fail</w:t>
      </w:r>
      <w:r>
        <w:t xml:space="preserve"> </w:t>
      </w:r>
      <w:r>
        <w:t xml:space="preserve">on their first attempt for an assignment, they get two additional</w:t>
      </w:r>
      <w:r>
        <w:t xml:space="preserve"> </w:t>
      </w:r>
      <w:r>
        <w:t xml:space="preserve">chances.</w:t>
      </w:r>
    </w:p>
    <w:p>
      <w:pPr>
        <w:pStyle w:val="BodyText"/>
      </w:pPr>
      <w:r>
        <w:t xml:space="preserve">In the first edition of BIOS1100, not only were there 11 assignments, I</w:t>
      </w:r>
      <w:r>
        <w:t xml:space="preserve"> </w:t>
      </w:r>
      <w:r>
        <w:t xml:space="preserve">intended these to be only used for summative assessment. I had attended</w:t>
      </w:r>
      <w:r>
        <w:t xml:space="preserve"> </w:t>
      </w:r>
      <w:r>
        <w:t xml:space="preserve">a presentation where it was argued that one should not try to combine</w:t>
      </w:r>
      <w:r>
        <w:t xml:space="preserve"> </w:t>
      </w:r>
      <w:r>
        <w:t xml:space="preserve">formative with summative assessment as assignments can not effectively</w:t>
      </w:r>
      <w:r>
        <w:t xml:space="preserve"> </w:t>
      </w:r>
      <w:r>
        <w:t xml:space="preserve">serve these two purposes. So I instructed the Teaching Assistants to</w:t>
      </w:r>
      <w:r>
        <w:t xml:space="preserve"> </w:t>
      </w:r>
      <w:r>
        <w:t xml:space="preserve">grade them without leaving any comments. It quickly became clear that it</w:t>
      </w:r>
      <w:r>
        <w:t xml:space="preserve"> </w:t>
      </w:r>
      <w:r>
        <w:t xml:space="preserve">made much more sense to give students feedback on their assignment,</w:t>
      </w:r>
      <w:r>
        <w:t xml:space="preserve"> </w:t>
      </w:r>
      <w:r>
        <w:t xml:space="preserve">regardless of whether they had passed or not. Having the option to hand</w:t>
      </w:r>
      <w:r>
        <w:t xml:space="preserve"> </w:t>
      </w:r>
      <w:r>
        <w:t xml:space="preserve">in some of the work students doing, and receiving constructive comments</w:t>
      </w:r>
      <w:r>
        <w:t xml:space="preserve"> </w:t>
      </w:r>
      <w:r>
        <w:t xml:space="preserve">on it, is very useful for student learning. Using the obligatory</w:t>
      </w:r>
      <w:r>
        <w:t xml:space="preserve"> </w:t>
      </w:r>
      <w:r>
        <w:t xml:space="preserve">assignments for this is really a very good way for</w:t>
      </w:r>
      <w:r>
        <w:t xml:space="preserve"> </w:t>
      </w:r>
      <w:r>
        <w:rPr>
          <w:i/>
        </w:rPr>
        <w:t xml:space="preserve">all</w:t>
      </w:r>
      <w:r>
        <w:t xml:space="preserve"> </w:t>
      </w:r>
      <w:r>
        <w:t xml:space="preserve">students to</w:t>
      </w:r>
      <w:r>
        <w:t xml:space="preserve"> </w:t>
      </w:r>
      <w:r>
        <w:t xml:space="preserve">receive such feedback, and one of the few ways to offer this to all</w:t>
      </w:r>
      <w:r>
        <w:t xml:space="preserve"> </w:t>
      </w:r>
      <w:r>
        <w:t xml:space="preserve">students throughout the course. I thus concluded that I deliberately</w:t>
      </w:r>
      <w:r>
        <w:t xml:space="preserve"> </w:t>
      </w:r>
      <w:r>
        <w:t xml:space="preserve">want to use the obligatory assignments for both formative and summative</w:t>
      </w:r>
      <w:r>
        <w:t xml:space="preserve"> </w:t>
      </w:r>
      <w:r>
        <w:t xml:space="preserve">assessment. From then on, I asked Teaching Assistants to give feedback</w:t>
      </w:r>
      <w:r>
        <w:t xml:space="preserve"> </w:t>
      </w:r>
      <w:r>
        <w:t xml:space="preserve">to all delivered assignments.</w:t>
      </w:r>
    </w:p>
    <w:p>
      <w:pPr>
        <w:pStyle w:val="BodyText"/>
      </w:pPr>
      <w:r>
        <w:t xml:space="preserve">Ideally, I as a teacher would also study the deliveries to distill</w:t>
      </w:r>
      <w:r>
        <w:t xml:space="preserve"> </w:t>
      </w:r>
      <w:r>
        <w:t xml:space="preserve">common misunderstandings, in other words, use them as a proper formative</w:t>
      </w:r>
      <w:r>
        <w:t xml:space="preserve"> </w:t>
      </w:r>
      <w:r>
        <w:t xml:space="preserve">assessment tool for myself. Unfortunately, there has as of yet not been</w:t>
      </w:r>
      <w:r>
        <w:t xml:space="preserve"> </w:t>
      </w:r>
      <w:r>
        <w:t xml:space="preserve">enough time during the course to do this.</w:t>
      </w:r>
    </w:p>
    <w:p>
      <w:pPr>
        <w:pStyle w:val="BodyText"/>
      </w:pPr>
      <w:r>
        <w:rPr>
          <w:b/>
        </w:rPr>
        <w:t xml:space="preserve">TA experiences document</w:t>
      </w:r>
    </w:p>
    <w:p>
      <w:pPr>
        <w:pStyle w:val="BodyText"/>
      </w:pPr>
      <w:r>
        <w:t xml:space="preserve">From the very beginning of the course, I have used a shared document (a</w:t>
      </w:r>
      <w:r>
        <w:t xml:space="preserve"> </w:t>
      </w:r>
      <w:r>
        <w:t xml:space="preserve">Google Doc) where I asked Teaching Assistants to note down their</w:t>
      </w:r>
      <w:r>
        <w:t xml:space="preserve"> </w:t>
      </w:r>
      <w:r>
        <w:t xml:space="preserve">experiences immediately following their teaching sessions. The other</w:t>
      </w:r>
      <w:r>
        <w:t xml:space="preserve"> </w:t>
      </w:r>
      <w:r>
        <w:t xml:space="preserve">TA's can then read this so-called 'erfaringsdokument' (experiences</w:t>
      </w:r>
      <w:r>
        <w:t xml:space="preserve"> </w:t>
      </w:r>
      <w:r>
        <w:t xml:space="preserve">document) and use that to help them prepare for their teaching. I use it</w:t>
      </w:r>
      <w:r>
        <w:t xml:space="preserve"> </w:t>
      </w:r>
      <w:r>
        <w:t xml:space="preserve">to immediately address mistakes in the teaching materials, or propose</w:t>
      </w:r>
      <w:r>
        <w:t xml:space="preserve"> </w:t>
      </w:r>
      <w:r>
        <w:t xml:space="preserve">solutions when things don't work as I intended them. This has worked</w:t>
      </w:r>
      <w:r>
        <w:t xml:space="preserve"> </w:t>
      </w:r>
      <w:r>
        <w:t xml:space="preserve">very well, and much useful feedback, or inspirational suggestions, have</w:t>
      </w:r>
      <w:r>
        <w:t xml:space="preserve"> </w:t>
      </w:r>
      <w:r>
        <w:t xml:space="preserve">been written down by the Teaching Assistants throughout the years.</w:t>
      </w:r>
    </w:p>
    <w:p>
      <w:pPr>
        <w:pStyle w:val="BodyText"/>
      </w:pPr>
      <w:r>
        <w:t xml:space="preserve">Using such a form for formative assessment shows Teaching Assistants</w:t>
      </w:r>
      <w:r>
        <w:t xml:space="preserve"> </w:t>
      </w:r>
      <w:r>
        <w:t xml:space="preserve">that their feedback is being taken seriously, and that their input to</w:t>
      </w:r>
      <w:r>
        <w:t xml:space="preserve"> </w:t>
      </w:r>
      <w:r>
        <w:t xml:space="preserve">the course is very welcome. It provides them ownership in the teaching,</w:t>
      </w:r>
      <w:r>
        <w:t xml:space="preserve"> </w:t>
      </w:r>
      <w:r>
        <w:t xml:space="preserve">something they also give me as feedback during the course evaluations at</w:t>
      </w:r>
      <w:r>
        <w:t xml:space="preserve"> </w:t>
      </w:r>
      <w:r>
        <w:t xml:space="preserve">the end of the semester.</w:t>
      </w:r>
    </w:p>
    <w:p>
      <w:pPr>
        <w:pStyle w:val="BodyText"/>
      </w:pPr>
      <w:r>
        <w:t xml:space="preserve">When preparing for the next year's edition, I heavily use this</w:t>
      </w:r>
      <w:r>
        <w:t xml:space="preserve"> </w:t>
      </w:r>
      <w:r>
        <w:t xml:space="preserve">document, and a private</w:t>
      </w:r>
      <w:r>
        <w:t xml:space="preserve"> </w:t>
      </w:r>
      <w:r>
        <w:t xml:space="preserve">‘</w:t>
      </w:r>
      <w:r>
        <w:t xml:space="preserve">erfaringsdokument</w:t>
      </w:r>
      <w:r>
        <w:t xml:space="preserve">’</w:t>
      </w:r>
      <w:r>
        <w:t xml:space="preserve"> </w:t>
      </w:r>
      <w:r>
        <w:t xml:space="preserve">that I write myself during</w:t>
      </w:r>
      <w:r>
        <w:t xml:space="preserve"> </w:t>
      </w:r>
      <w:r>
        <w:t xml:space="preserve">the semester, to further improve the teaching materials and adjust</w:t>
      </w:r>
      <w:r>
        <w:t xml:space="preserve"> </w:t>
      </w:r>
      <w:r>
        <w:t xml:space="preserve">teaching sessions where necessary. These documents turned out to be</w:t>
      </w:r>
      <w:r>
        <w:t xml:space="preserve"> </w:t>
      </w:r>
      <w:r>
        <w:t xml:space="preserve">essential for improving the course.</w:t>
      </w:r>
    </w:p>
    <w:bookmarkEnd w:id="44"/>
    <w:bookmarkEnd w:id="45"/>
    <w:bookmarkStart w:id="54" w:name="constructive-alignment"/>
    <w:p>
      <w:pPr>
        <w:pStyle w:val="Heading3"/>
      </w:pPr>
      <w:r>
        <w:t xml:space="preserve">Constructive Alignment</w:t>
      </w:r>
    </w:p>
    <w:bookmarkStart w:id="48" w:name="theoretical-background-2"/>
    <w:p>
      <w:pPr>
        <w:pStyle w:val="Heading4"/>
      </w:pPr>
      <w:r>
        <w:t xml:space="preserve">Theoretical background</w:t>
      </w:r>
    </w:p>
    <w:p>
      <w:pPr>
        <w:pStyle w:val="FirstParagraph"/>
      </w:pPr>
      <w:r>
        <w:t xml:space="preserve">Constructive Alignment is concerned with aligning the learning</w:t>
      </w:r>
      <w:r>
        <w:t xml:space="preserve"> </w:t>
      </w:r>
      <w:r>
        <w:t xml:space="preserve">activities with the intended learning outcomes. Following Biggs</w:t>
      </w:r>
      <w:r>
        <w:t xml:space="preserve"> </w:t>
      </w:r>
      <w:hyperlink r:id="rId46">
        <w:r>
          <w:rPr>
            <w:rStyle w:val="Hyperlink"/>
          </w:rPr>
          <w:t xml:space="preserve">(2012)</w:t>
        </w:r>
      </w:hyperlink>
      <w:r>
        <w:t xml:space="preserve">, we start with</w:t>
      </w:r>
      <w:r>
        <w:t xml:space="preserve"> </w:t>
      </w:r>
      <w:r>
        <w:t xml:space="preserve">determining:</w:t>
      </w:r>
    </w:p>
    <w:p>
      <w:pPr>
        <w:numPr>
          <w:ilvl w:val="0"/>
          <w:numId w:val="1001"/>
        </w:numPr>
      </w:pPr>
      <w:r>
        <w:t xml:space="preserve">What are the desired learning outcomes, these are the objectives</w:t>
      </w:r>
    </w:p>
    <w:p>
      <w:pPr>
        <w:numPr>
          <w:ilvl w:val="0"/>
          <w:numId w:val="1001"/>
        </w:numPr>
      </w:pPr>
      <w:r>
        <w:t xml:space="preserve">How to measure whether desired learning has been achieved, assessment</w:t>
      </w:r>
    </w:p>
    <w:p>
      <w:pPr>
        <w:numPr>
          <w:ilvl w:val="0"/>
          <w:numId w:val="1001"/>
        </w:numPr>
      </w:pPr>
      <w:r>
        <w:t xml:space="preserve">What (teaching and learning) activities can we use that engage</w:t>
      </w:r>
      <w:r>
        <w:t xml:space="preserve"> </w:t>
      </w:r>
      <w:r>
        <w:t xml:space="preserve">students in a way that leads to learning</w:t>
      </w:r>
    </w:p>
    <w:p>
      <w:pPr>
        <w:pStyle w:val="FirstParagraph"/>
      </w:pPr>
      <w:r>
        <w:t xml:space="preserve">Biggs calls this Constructive Alignment, which is an aligned system of</w:t>
      </w:r>
      <w:r>
        <w:t xml:space="preserve"> </w:t>
      </w:r>
      <w:r>
        <w:t xml:space="preserve">instruction where</w:t>
      </w:r>
      <w:r>
        <w:t xml:space="preserve"> </w:t>
      </w:r>
      <w:r>
        <w:t xml:space="preserve">“</w:t>
      </w:r>
      <w:r>
        <w:t xml:space="preserve">the objectives define what we should be teaching; how</w:t>
      </w:r>
      <w:r>
        <w:t xml:space="preserve"> </w:t>
      </w:r>
      <w:r>
        <w:t xml:space="preserve">we should be teaching it; and how we could know how well students have</w:t>
      </w:r>
      <w:r>
        <w:t xml:space="preserve"> </w:t>
      </w:r>
      <w:r>
        <w:t xml:space="preserve">learned it</w:t>
      </w:r>
      <w:r>
        <w:t xml:space="preserve">”</w:t>
      </w:r>
      <w:r>
        <w:t xml:space="preserve"> </w:t>
      </w:r>
      <w:hyperlink r:id="rId47">
        <w:r>
          <w:rPr>
            <w:rStyle w:val="Hyperlink"/>
          </w:rPr>
          <w:t xml:space="preserve">(Biggs, 2012; Biggs and Tang,</w:t>
        </w:r>
        <w:r>
          <w:rPr>
            <w:rStyle w:val="Hyperlink"/>
          </w:rPr>
          <w:t xml:space="preserve"> </w:t>
        </w:r>
        <w:r>
          <w:rPr>
            <w:rStyle w:val="Hyperlink"/>
          </w:rPr>
          <w:t xml:space="preserve">2011)</w:t>
        </w:r>
      </w:hyperlink>
      <w:r>
        <w:t xml:space="preserve">.</w:t>
      </w:r>
    </w:p>
    <w:bookmarkEnd w:id="48"/>
    <w:bookmarkStart w:id="51" w:name="what-does-this-mean-for-bios1100-2"/>
    <w:p>
      <w:pPr>
        <w:pStyle w:val="Heading4"/>
      </w:pPr>
      <w:r>
        <w:t xml:space="preserve">What does this mean for BIOS1100?</w:t>
      </w:r>
    </w:p>
    <w:p>
      <w:pPr>
        <w:pStyle w:val="FirstParagraph"/>
      </w:pPr>
      <w:r>
        <w:t xml:space="preserve">Following Biggs' approach, we should start by determining our</w:t>
      </w:r>
      <w:r>
        <w:t xml:space="preserve"> </w:t>
      </w:r>
      <w:r>
        <w:t xml:space="preserve">objectives.</w:t>
      </w:r>
    </w:p>
    <w:p>
      <w:pPr>
        <w:pStyle w:val="BodyText"/>
      </w:pPr>
      <w:r>
        <w:t xml:space="preserve">The learning outcomes of BIOS1100 are described on the course homepage</w:t>
      </w:r>
      <w:r>
        <w:t xml:space="preserve"> </w:t>
      </w:r>
      <w:hyperlink r:id="rId49">
        <w:r>
          <w:rPr>
            <w:rStyle w:val="Hyperlink"/>
            <w:u w:val="single"/>
          </w:rPr>
          <w:t xml:space="preserve">https://www.uio.no/studier/emner/matnat/ibv/BIOS1100/</w:t>
        </w:r>
      </w:hyperlink>
      <w:r>
        <w:t xml:space="preserve"> </w:t>
      </w:r>
      <w:r>
        <w:t xml:space="preserve">(English:</w:t>
      </w:r>
      <w:r>
        <w:t xml:space="preserve"> </w:t>
      </w:r>
      <w:hyperlink r:id="rId50">
        <w:r>
          <w:rPr>
            <w:rStyle w:val="Hyperlink"/>
            <w:u w:val="single"/>
          </w:rPr>
          <w:t xml:space="preserve">https://www.uio.no/studier/emner/matnat/ibv/BIOS1100/index-eng.html</w:t>
        </w:r>
      </w:hyperlink>
      <w:r>
        <w:t xml:space="preserve">).</w:t>
      </w:r>
      <w:r>
        <w:t xml:space="preserve"> </w:t>
      </w:r>
      <w:r>
        <w:t xml:space="preserve">But since these are deliberately kept short, there is a need to expand</w:t>
      </w:r>
      <w:r>
        <w:t xml:space="preserve"> </w:t>
      </w:r>
      <w:r>
        <w:t xml:space="preserve">on them.</w:t>
      </w:r>
    </w:p>
    <w:p>
      <w:pPr>
        <w:pStyle w:val="BodyText"/>
      </w:pPr>
      <w:r>
        <w:t xml:space="preserve">The next step would be to determine the summative assessments, in other</w:t>
      </w:r>
      <w:r>
        <w:t xml:space="preserve"> </w:t>
      </w:r>
      <w:r>
        <w:t xml:space="preserve">words, make exam questions and any obligatory assignments before the</w:t>
      </w:r>
      <w:r>
        <w:t xml:space="preserve"> </w:t>
      </w:r>
      <w:r>
        <w:t xml:space="preserve">course starts. In practice, this is not often done.</w:t>
      </w:r>
    </w:p>
    <w:p>
      <w:pPr>
        <w:pStyle w:val="BodyText"/>
      </w:pPr>
      <w:r>
        <w:t xml:space="preserve">Finally, we need to design appropriate activities that help new students</w:t>
      </w:r>
      <w:r>
        <w:t xml:space="preserve"> </w:t>
      </w:r>
      <w:r>
        <w:t xml:space="preserve">learn the mix of biology, mathematical modelling and programming that</w:t>
      </w:r>
      <w:r>
        <w:t xml:space="preserve"> </w:t>
      </w:r>
      <w:r>
        <w:t xml:space="preserve">BIOS1100 aims to teach.</w:t>
      </w:r>
    </w:p>
    <w:bookmarkEnd w:id="51"/>
    <w:bookmarkStart w:id="53" w:name="practical-implementation-1"/>
    <w:p>
      <w:pPr>
        <w:pStyle w:val="Heading4"/>
      </w:pPr>
      <w:r>
        <w:t xml:space="preserve">Practical implementation</w:t>
      </w:r>
    </w:p>
    <w:p>
      <w:pPr>
        <w:pStyle w:val="FirstParagraph"/>
      </w:pPr>
      <w:r>
        <w:t xml:space="preserve">To align how we teach programming In BIOS1100, we use Jupyter Notebooks</w:t>
      </w:r>
      <w:r>
        <w:t xml:space="preserve"> </w:t>
      </w:r>
      <w:r>
        <w:t xml:space="preserve">for everything. Jupyter Notebooks</w:t>
      </w:r>
      <w:r>
        <w:t xml:space="preserve"> </w:t>
      </w:r>
      <w:r>
        <w:t xml:space="preserve">(</w:t>
      </w:r>
      <w:hyperlink r:id="rId52">
        <w:r>
          <w:rPr>
            <w:rStyle w:val="Hyperlink"/>
            <w:u w:val="single"/>
          </w:rPr>
          <w:t xml:space="preserve">https://jupyter.org</w:t>
        </w:r>
      </w:hyperlink>
      <w:r>
        <w:t xml:space="preserve">) are a form of</w:t>
      </w:r>
      <w:r>
        <w:t xml:space="preserve"> </w:t>
      </w:r>
      <w:r>
        <w:t xml:space="preserve">‘</w:t>
      </w:r>
      <w:r>
        <w:t xml:space="preserve">computational</w:t>
      </w:r>
      <w:r>
        <w:t xml:space="preserve">’</w:t>
      </w:r>
      <w:r>
        <w:t xml:space="preserve"> </w:t>
      </w:r>
      <w:r>
        <w:t xml:space="preserve">notebooks combining text, media, programming code and</w:t>
      </w:r>
      <w:r>
        <w:t xml:space="preserve"> </w:t>
      </w:r>
      <w:r>
        <w:t xml:space="preserve">the ability to execute that code and include the results of running it</w:t>
      </w:r>
      <w:r>
        <w:t xml:space="preserve"> </w:t>
      </w:r>
      <w:r>
        <w:t xml:space="preserve">in the same notebook. Teaching materials, including exercises, are</w:t>
      </w:r>
      <w:r>
        <w:t xml:space="preserve"> </w:t>
      </w:r>
      <w:r>
        <w:t xml:space="preserve">delivered as Jupyter Notebooks. During Live Coding sessions and group</w:t>
      </w:r>
      <w:r>
        <w:t xml:space="preserve"> </w:t>
      </w:r>
      <w:r>
        <w:t xml:space="preserve">work,students as well as teachers and Teaching Assistants , do all their</w:t>
      </w:r>
      <w:r>
        <w:t xml:space="preserve"> </w:t>
      </w:r>
      <w:r>
        <w:t xml:space="preserve">programming in them. Obligatory assignments are also handed out, and</w:t>
      </w:r>
      <w:r>
        <w:t xml:space="preserve"> </w:t>
      </w:r>
      <w:r>
        <w:t xml:space="preserve">handed in and graded, as notebooks.</w:t>
      </w:r>
    </w:p>
    <w:p>
      <w:pPr>
        <w:pStyle w:val="BodyText"/>
      </w:pPr>
      <w:r>
        <w:t xml:space="preserve">When students, assistants and teacher all are seeing and commenting code</w:t>
      </w:r>
      <w:r>
        <w:t xml:space="preserve"> </w:t>
      </w:r>
      <w:r>
        <w:t xml:space="preserve">in the same environment, discussing problems and helping each other,</w:t>
      </w:r>
      <w:r>
        <w:t xml:space="preserve"> </w:t>
      </w:r>
      <w:r>
        <w:t xml:space="preserve">this reduces the extra cognitive load of switching programming</w:t>
      </w:r>
      <w:r>
        <w:t xml:space="preserve"> </w:t>
      </w:r>
      <w:r>
        <w:t xml:space="preserve">environments.</w:t>
      </w:r>
    </w:p>
    <w:p>
      <w:pPr>
        <w:pStyle w:val="BodyText"/>
      </w:pPr>
      <w:r>
        <w:t xml:space="preserve">We use a cloud-based server, called JupyterHub, to provide students with</w:t>
      </w:r>
      <w:r>
        <w:t xml:space="preserve"> </w:t>
      </w:r>
      <w:r>
        <w:t xml:space="preserve">this programming environment. An additional benefit of this programming</w:t>
      </w:r>
      <w:r>
        <w:t xml:space="preserve"> </w:t>
      </w:r>
      <w:r>
        <w:t xml:space="preserve">environment is that it saves the students from installing software on</w:t>
      </w:r>
      <w:r>
        <w:t xml:space="preserve"> </w:t>
      </w:r>
      <w:r>
        <w:t xml:space="preserve">their own laptop: as long as they have a working internet connection</w:t>
      </w:r>
      <w:r>
        <w:t xml:space="preserve"> </w:t>
      </w:r>
      <w:r>
        <w:t xml:space="preserve">they can log in (using university credentials) to the server and start</w:t>
      </w:r>
      <w:r>
        <w:t xml:space="preserve"> </w:t>
      </w:r>
      <w:r>
        <w:t xml:space="preserve">working.</w:t>
      </w:r>
    </w:p>
    <w:p>
      <w:pPr>
        <w:pStyle w:val="BodyText"/>
      </w:pPr>
      <w:r>
        <w:t xml:space="preserve">In the first two years of BIOS1100, however, there was one component</w:t>
      </w:r>
      <w:r>
        <w:t xml:space="preserve"> </w:t>
      </w:r>
      <w:r>
        <w:t xml:space="preserve">that did not use these notebooks. During the exam the students had to</w:t>
      </w:r>
      <w:r>
        <w:t xml:space="preserve"> </w:t>
      </w:r>
      <w:r>
        <w:t xml:space="preserve">use a different environment which did not allow them to test and run</w:t>
      </w:r>
      <w:r>
        <w:t xml:space="preserve"> </w:t>
      </w:r>
      <w:r>
        <w:t xml:space="preserve">their code and programs. The four hour exam was done in a UiO's digital</w:t>
      </w:r>
      <w:r>
        <w:t xml:space="preserve"> </w:t>
      </w:r>
      <w:r>
        <w:t xml:space="preserve">exam environment Inspera, which did not have a technical solution for</w:t>
      </w:r>
      <w:r>
        <w:t xml:space="preserve"> </w:t>
      </w:r>
      <w:r>
        <w:t xml:space="preserve">running programming code. This was initially a deliberate choice. In</w:t>
      </w:r>
      <w:r>
        <w:t xml:space="preserve"> </w:t>
      </w:r>
      <w:r>
        <w:t xml:space="preserve">dialogues with my colleagues who teach beginner programming courses at</w:t>
      </w:r>
      <w:r>
        <w:t xml:space="preserve"> </w:t>
      </w:r>
      <w:r>
        <w:t xml:space="preserve">the Department of Informatics, I became convinced that not being able to</w:t>
      </w:r>
      <w:r>
        <w:t xml:space="preserve"> </w:t>
      </w:r>
      <w:r>
        <w:t xml:space="preserve">run code during the exam is of benefit for the students. Informatics</w:t>
      </w:r>
      <w:r>
        <w:t xml:space="preserve"> </w:t>
      </w:r>
      <w:r>
        <w:t xml:space="preserve">students until recently even handed in their programs during the exam on</w:t>
      </w:r>
      <w:r>
        <w:t xml:space="preserve"> </w:t>
      </w:r>
      <w:r>
        <w:t xml:space="preserve">paper. It prevents them from getting stuck with a relatively minor error</w:t>
      </w:r>
      <w:r>
        <w:t xml:space="preserve"> </w:t>
      </w:r>
      <w:r>
        <w:t xml:space="preserve">(in the syntax, for example), and having to spend a lot of time fixing</w:t>
      </w:r>
      <w:r>
        <w:t xml:space="preserve"> </w:t>
      </w:r>
      <w:r>
        <w:t xml:space="preserve">it - which can be hard. I thus decided to follow the same strategy, the</w:t>
      </w:r>
      <w:r>
        <w:t xml:space="preserve"> </w:t>
      </w:r>
      <w:r>
        <w:t xml:space="preserve">motivation for which I also explicitly explained to the students.</w:t>
      </w:r>
    </w:p>
    <w:p>
      <w:pPr>
        <w:pStyle w:val="BodyText"/>
      </w:pPr>
      <w:r>
        <w:t xml:space="preserve">In dialogues with students it became increasingly clear to me that not</w:t>
      </w:r>
      <w:r>
        <w:t xml:space="preserve"> </w:t>
      </w:r>
      <w:r>
        <w:t xml:space="preserve">being able to test and run programs they write during the exam caused a</w:t>
      </w:r>
      <w:r>
        <w:t xml:space="preserve"> </w:t>
      </w:r>
      <w:r>
        <w:t xml:space="preserve">lot of stress for the students. They had not experienced this way of</w:t>
      </w:r>
      <w:r>
        <w:t xml:space="preserve"> </w:t>
      </w:r>
      <w:r>
        <w:t xml:space="preserve">working during the entire semester. I also learned more and more about</w:t>
      </w:r>
      <w:r>
        <w:t xml:space="preserve"> </w:t>
      </w:r>
      <w:r>
        <w:t xml:space="preserve">the benefits of Constructive Alignment, and concluded that the exam</w:t>
      </w:r>
      <w:r>
        <w:t xml:space="preserve"> </w:t>
      </w:r>
      <w:r>
        <w:t xml:space="preserve">introduced a major mis-alingment in the course. I thus decided that the</w:t>
      </w:r>
      <w:r>
        <w:t xml:space="preserve"> </w:t>
      </w:r>
      <w:r>
        <w:t xml:space="preserve">situation needed to change.</w:t>
      </w:r>
    </w:p>
    <w:p>
      <w:pPr>
        <w:pStyle w:val="BodyText"/>
      </w:pPr>
      <w:r>
        <w:t xml:space="preserve">Thus, in the fall of 2019, with help from the university's IT</w:t>
      </w:r>
      <w:r>
        <w:t xml:space="preserve"> </w:t>
      </w:r>
      <w:r>
        <w:t xml:space="preserve">department and the faculty's Inspera team, it became possible, for the</w:t>
      </w:r>
      <w:r>
        <w:t xml:space="preserve"> </w:t>
      </w:r>
      <w:r>
        <w:t xml:space="preserve">first time for any digital exam at the university, for students to</w:t>
      </w:r>
      <w:r>
        <w:t xml:space="preserve"> </w:t>
      </w:r>
      <w:r>
        <w:t xml:space="preserve">submit exam assignments in the form of Jupyter Notebooks. This means</w:t>
      </w:r>
      <w:r>
        <w:t xml:space="preserve"> </w:t>
      </w:r>
      <w:r>
        <w:t xml:space="preserve">that the students could now also run and test their code before handing</w:t>
      </w:r>
      <w:r>
        <w:t xml:space="preserve"> </w:t>
      </w:r>
      <w:r>
        <w:t xml:space="preserve">it in. This led to a much increased Constructive Alignment between</w:t>
      </w:r>
      <w:r>
        <w:t xml:space="preserve"> </w:t>
      </w:r>
      <w:r>
        <w:t xml:space="preserve">teaching and examination methods.</w:t>
      </w:r>
    </w:p>
    <w:p>
      <w:pPr>
        <w:pStyle w:val="BodyText"/>
      </w:pPr>
      <w:r>
        <w:t xml:space="preserve">A large drawback to this approach is that students have to work in two</w:t>
      </w:r>
      <w:r>
        <w:t xml:space="preserve"> </w:t>
      </w:r>
      <w:r>
        <w:t xml:space="preserve">different systems during the exam, the Inspera system and the JupyterHub</w:t>
      </w:r>
      <w:r>
        <w:t xml:space="preserve"> </w:t>
      </w:r>
      <w:r>
        <w:t xml:space="preserve">browser. There is a risk of uploading the wrong notebook or the wrong</w:t>
      </w:r>
      <w:r>
        <w:t xml:space="preserve"> </w:t>
      </w:r>
      <w:r>
        <w:t xml:space="preserve">version of it. Experience so far has shown students that are able to</w:t>
      </w:r>
      <w:r>
        <w:t xml:space="preserve"> </w:t>
      </w:r>
      <w:r>
        <w:t xml:space="preserve">manage this satisfactorily. In 2020, the exam was changed to a 4-hour</w:t>
      </w:r>
      <w:r>
        <w:t xml:space="preserve"> </w:t>
      </w:r>
      <w:r>
        <w:t xml:space="preserve">digital home exam, but otherwise organised as before. Incidentally, this</w:t>
      </w:r>
      <w:r>
        <w:t xml:space="preserve"> </w:t>
      </w:r>
      <w:r>
        <w:t xml:space="preserve">aligned the exam situation even more than the 2019 exam, as it allowed</w:t>
      </w:r>
      <w:r>
        <w:t xml:space="preserve"> </w:t>
      </w:r>
      <w:r>
        <w:t xml:space="preserve">students to use all available resources, as they are used to when</w:t>
      </w:r>
      <w:r>
        <w:t xml:space="preserve"> </w:t>
      </w:r>
      <w:r>
        <w:t xml:space="preserve">working with (obligatory) assignments.</w:t>
      </w:r>
    </w:p>
    <w:bookmarkEnd w:id="53"/>
    <w:bookmarkEnd w:id="54"/>
    <w:bookmarkStart w:id="55" w:name="conclusion"/>
    <w:p>
      <w:pPr>
        <w:pStyle w:val="Heading3"/>
      </w:pPr>
      <w:r>
        <w:t xml:space="preserve">Conclusion</w:t>
      </w:r>
    </w:p>
    <w:p>
      <w:pPr>
        <w:pStyle w:val="FirstParagraph"/>
      </w:pPr>
      <w:r>
        <w:t xml:space="preserve">After four years of continued development, I am very satisfied with</w:t>
      </w:r>
      <w:r>
        <w:t xml:space="preserve"> </w:t>
      </w:r>
      <w:r>
        <w:t xml:space="preserve">BIOS1100. i have found the right</w:t>
      </w:r>
      <w:r>
        <w:t xml:space="preserve"> </w:t>
      </w:r>
      <w:r>
        <w:t xml:space="preserve">‘</w:t>
      </w:r>
      <w:r>
        <w:t xml:space="preserve">form</w:t>
      </w:r>
      <w:r>
        <w:t xml:space="preserve">’</w:t>
      </w:r>
      <w:r>
        <w:t xml:space="preserve"> </w:t>
      </w:r>
      <w:r>
        <w:t xml:space="preserve">for this course, with lectures,</w:t>
      </w:r>
      <w:r>
        <w:t xml:space="preserve"> </w:t>
      </w:r>
      <w:r>
        <w:t xml:space="preserve">Participatory Live Coding sessions and group sessions. The material</w:t>
      </w:r>
      <w:r>
        <w:t xml:space="preserve"> </w:t>
      </w:r>
      <w:r>
        <w:t xml:space="preserve">written for the course, the set of problem exercises and Multiple Choice</w:t>
      </w:r>
      <w:r>
        <w:t xml:space="preserve"> </w:t>
      </w:r>
      <w:r>
        <w:t xml:space="preserve">Questions is of sufficient quality and amount.</w:t>
      </w:r>
    </w:p>
    <w:p>
      <w:pPr>
        <w:pStyle w:val="BodyText"/>
      </w:pPr>
      <w:r>
        <w:t xml:space="preserve">Along the way, educational theory has informed me for the many choices a</w:t>
      </w:r>
      <w:r>
        <w:t xml:space="preserve"> </w:t>
      </w:r>
      <w:r>
        <w:t xml:space="preserve">teacher has to make. It has made me choose methods to lower cognitive</w:t>
      </w:r>
      <w:r>
        <w:t xml:space="preserve"> </w:t>
      </w:r>
      <w:r>
        <w:t xml:space="preserve">load, for example by successfully scaling up Participatory Live Coding.</w:t>
      </w:r>
      <w:r>
        <w:t xml:space="preserve"> </w:t>
      </w:r>
      <w:r>
        <w:t xml:space="preserve">It has shown me the importance of formative assessment, how there are</w:t>
      </w:r>
      <w:r>
        <w:t xml:space="preserve"> </w:t>
      </w:r>
      <w:r>
        <w:t xml:space="preserve">different ways to be informed about student progress and how collecting</w:t>
      </w:r>
      <w:r>
        <w:t xml:space="preserve"> </w:t>
      </w:r>
      <w:r>
        <w:t xml:space="preserve">this information can guide course adjustment immediately, or in between</w:t>
      </w:r>
      <w:r>
        <w:t xml:space="preserve"> </w:t>
      </w:r>
      <w:r>
        <w:t xml:space="preserve">course editions. Finally, it has led to a much better alignment of the</w:t>
      </w:r>
      <w:r>
        <w:t xml:space="preserve"> </w:t>
      </w:r>
      <w:r>
        <w:t xml:space="preserve">way students are exposed to programming, and work with it, with the</w:t>
      </w:r>
      <w:r>
        <w:t xml:space="preserve"> </w:t>
      </w:r>
      <w:r>
        <w:t xml:space="preserve">summative assessment, by making the exam situation as similar as</w:t>
      </w:r>
      <w:r>
        <w:t xml:space="preserve"> </w:t>
      </w:r>
      <w:r>
        <w:t xml:space="preserve">possible to the rest of the activities in the course.</w:t>
      </w:r>
    </w:p>
    <w:p>
      <w:pPr>
        <w:pStyle w:val="BodyText"/>
      </w:pPr>
      <w:r>
        <w:t xml:space="preserve">Students also report more satisfaction with the course now than in the</w:t>
      </w:r>
      <w:r>
        <w:t xml:space="preserve"> </w:t>
      </w:r>
      <w:r>
        <w:t xml:space="preserve">beginning. In the student evaluation of 2019, for the first time the</w:t>
      </w:r>
      <w:r>
        <w:t xml:space="preserve"> </w:t>
      </w:r>
      <w:r>
        <w:t xml:space="preserve">words feeling of mastery (</w:t>
      </w:r>
      <w:r>
        <w:t xml:space="preserve">‘</w:t>
      </w:r>
      <w:r>
        <w:t xml:space="preserve">mestringsfølelse</w:t>
      </w:r>
      <w:r>
        <w:t xml:space="preserve">’</w:t>
      </w:r>
      <w:r>
        <w:t xml:space="preserve">) appeared in the open</w:t>
      </w:r>
      <w:r>
        <w:t xml:space="preserve"> </w:t>
      </w:r>
      <w:r>
        <w:t xml:space="preserve">questions.</w:t>
      </w:r>
    </w:p>
    <w:p>
      <w:pPr>
        <w:pStyle w:val="BodyText"/>
      </w:pPr>
      <w:r>
        <w:t xml:space="preserve">I plan to continue to explore new areas in educational science to make</w:t>
      </w:r>
      <w:r>
        <w:t xml:space="preserve"> </w:t>
      </w:r>
      <w:r>
        <w:t xml:space="preserve">adjustments in my teaching. I am convinced that using it as a basis for</w:t>
      </w:r>
      <w:r>
        <w:t xml:space="preserve"> </w:t>
      </w:r>
      <w:r>
        <w:t xml:space="preserve">trying out things is the most fruitful way forward.</w:t>
      </w:r>
    </w:p>
    <w:bookmarkEnd w:id="55"/>
    <w:bookmarkEnd w:id="56"/>
    <w:bookmarkStart w:id="57" w:name="X5040ff6229358d1301f2c88b55f5a951722da5a"/>
    <w:p>
      <w:pPr>
        <w:pStyle w:val="Heading2"/>
      </w:pPr>
      <w:r>
        <w:t xml:space="preserve">Kollegialt samarbeid om utvikling av undervisning</w:t>
      </w:r>
    </w:p>
    <w:p>
      <w:pPr>
        <w:pStyle w:val="FirstParagraph"/>
      </w:pPr>
      <w:r>
        <w:t xml:space="preserve">Placeholder</w:t>
      </w:r>
    </w:p>
    <w:bookmarkEnd w:id="57"/>
    <w:bookmarkStart w:id="58" w:name="fokus-på-studentenes-læring"/>
    <w:p>
      <w:pPr>
        <w:pStyle w:val="Heading2"/>
      </w:pPr>
      <w:r>
        <w:t xml:space="preserve">Fokus på studentenes læring</w:t>
      </w:r>
    </w:p>
    <w:p>
      <w:pPr>
        <w:pStyle w:val="FirstParagraph"/>
      </w:pPr>
      <w:r>
        <w:t xml:space="preserve">Placeholder</w:t>
      </w:r>
    </w:p>
    <w:bookmarkEnd w:id="58"/>
    <w:bookmarkStart w:id="59" w:name="bruk-av-forskning-i-undervisningen"/>
    <w:p>
      <w:pPr>
        <w:pStyle w:val="Heading2"/>
      </w:pPr>
      <w:r>
        <w:t xml:space="preserve">Bruk av forskning i undervisningen</w:t>
      </w:r>
    </w:p>
    <w:p>
      <w:pPr>
        <w:pStyle w:val="FirstParagraph"/>
      </w:pPr>
      <w:r>
        <w:t xml:space="preserve">Placeholder</w:t>
      </w:r>
    </w:p>
    <w:p>
      <w:pPr>
        <w:pStyle w:val="BodyText"/>
      </w:pPr>
      <w:r>
        <w:t xml:space="preserve">[@wilson_good_2017]</w:t>
      </w:r>
    </w:p>
    <w:bookmarkEnd w:id="59"/>
    <w:bookmarkStart w:id="76" w:name="dokumentasjon-vedlegg"/>
    <w:p>
      <w:pPr>
        <w:pStyle w:val="Heading2"/>
      </w:pPr>
      <w:r>
        <w:t xml:space="preserve">Dokumentasjon (Vedlegg)</w:t>
      </w:r>
    </w:p>
    <w:p>
      <w:pPr>
        <w:pStyle w:val="FirstParagraph"/>
      </w:pPr>
      <w:r>
        <w:t xml:space="preserve">FIXME oversett til norsk</w:t>
      </w:r>
    </w:p>
    <w:bookmarkStart w:id="68" w:name="universitetsundervisning"/>
    <w:p>
      <w:pPr>
        <w:pStyle w:val="Heading3"/>
      </w:pPr>
      <w:r>
        <w:t xml:space="preserve">Universitetsundervisning</w:t>
      </w:r>
    </w:p>
    <w:bookmarkStart w:id="63" w:name="emneansvar"/>
    <w:p>
      <w:pPr>
        <w:pStyle w:val="Heading4"/>
      </w:pPr>
      <w:r>
        <w:t xml:space="preserve">Emneansvar</w:t>
      </w:r>
    </w:p>
    <w:p>
      <w:pPr>
        <w:pStyle w:val="FirstParagraph"/>
      </w:pPr>
      <w:r>
        <w:t xml:space="preserve">BIOS1100 - Introduction to Computational Modelling in the Biosciences:</w:t>
      </w:r>
      <w:r>
        <w:t xml:space="preserve"> </w:t>
      </w:r>
      <w:hyperlink r:id="rId60">
        <w:r>
          <w:rPr>
            <w:rStyle w:val="Hyperlink"/>
          </w:rPr>
          <w:t xml:space="preserve">http://www.uio.no/studier/emner/matnat/ibv/BIOS1100</w:t>
        </w:r>
      </w:hyperlink>
      <w:r>
        <w:t xml:space="preserve">; new first-year bachelor course that I am coordinator and main teacher for; the course is the first implementation of the</w:t>
      </w:r>
      <w:r>
        <w:t xml:space="preserve"> </w:t>
      </w:r>
      <w:r>
        <w:t xml:space="preserve">‘</w:t>
      </w:r>
      <w:r>
        <w:t xml:space="preserve">Computing in Science Education</w:t>
      </w:r>
      <w:r>
        <w:t xml:space="preserve">’</w:t>
      </w:r>
      <w:r>
        <w:t xml:space="preserve"> </w:t>
      </w:r>
      <w:r>
        <w:t xml:space="preserve">project for the Biosciences study program, teaching python programming and modelling of real biological phenomena, 2017-</w:t>
      </w:r>
    </w:p>
    <w:p>
      <w:pPr>
        <w:pStyle w:val="BodyText"/>
      </w:pPr>
      <w:r>
        <w:t xml:space="preserve">INF-BIO5121/9121 - High Throughput Sequencing technologies and bioinformatics analysis Univ. of Oslo:</w:t>
      </w:r>
      <w:r>
        <w:t xml:space="preserve"> </w:t>
      </w:r>
      <w:hyperlink r:id="rId61">
        <w:r>
          <w:rPr>
            <w:rStyle w:val="Hyperlink"/>
          </w:rPr>
          <w:t xml:space="preserve">http://inf-biox121.readthedocs.org/en/2015/</w:t>
        </w:r>
      </w:hyperlink>
      <w:r>
        <w:t xml:space="preserve">; I organise the course, coordinating with the five other teachers, and teach the assembly module:</w:t>
      </w:r>
      <w:r>
        <w:t xml:space="preserve"> </w:t>
      </w:r>
      <w:hyperlink r:id="rId62">
        <w:r>
          <w:rPr>
            <w:rStyle w:val="Hyperlink"/>
          </w:rPr>
          <w:t xml:space="preserve">http://inf-biox121.readthedocs.org/en/2016/Assembly/</w:t>
        </w:r>
      </w:hyperlink>
      <w:r>
        <w:t xml:space="preserve">, 2012-2016</w:t>
      </w:r>
    </w:p>
    <w:bookmarkEnd w:id="63"/>
    <w:bookmarkStart w:id="64" w:name="annen-universitetsundervisning"/>
    <w:p>
      <w:pPr>
        <w:pStyle w:val="Heading4"/>
      </w:pPr>
      <w:r>
        <w:t xml:space="preserve">Annen universitetsundervisning</w:t>
      </w:r>
    </w:p>
    <w:p>
      <w:pPr>
        <w:pStyle w:val="FirstParagraph"/>
      </w:pPr>
      <w:r>
        <w:t xml:space="preserve">MBV-INF4410/9410 Bioinformatics for Molecular Biology (Univ. of Oslo): lecture on</w:t>
      </w:r>
      <w:r>
        <w:t xml:space="preserve"> </w:t>
      </w:r>
      <w:r>
        <w:t xml:space="preserve">“</w:t>
      </w:r>
      <w:r>
        <w:t xml:space="preserve">The bioinformatics of sequencing and assembling genomes</w:t>
      </w:r>
      <w:r>
        <w:t xml:space="preserve">”</w:t>
      </w:r>
      <w:r>
        <w:t xml:space="preserve">, and</w:t>
      </w:r>
      <w:r>
        <w:t xml:space="preserve"> </w:t>
      </w:r>
      <w:r>
        <w:t xml:space="preserve">“</w:t>
      </w:r>
      <w:r>
        <w:t xml:space="preserve">What does it mean to do bioinformatics?</w:t>
      </w:r>
      <w:r>
        <w:t xml:space="preserve">”</w:t>
      </w:r>
      <w:r>
        <w:t xml:space="preserve">, 2013-2016</w:t>
      </w:r>
    </w:p>
    <w:p>
      <w:pPr>
        <w:pStyle w:val="BodyText"/>
      </w:pPr>
      <w:r>
        <w:t xml:space="preserve">BIO9905MERG1 - Bioinformatics for Metagenomic Analyses and Environmental Sequencing (Univ. of Oslo): lectures on</w:t>
      </w:r>
      <w:r>
        <w:t xml:space="preserve"> </w:t>
      </w:r>
      <w:r>
        <w:t xml:space="preserve">“</w:t>
      </w:r>
      <w:r>
        <w:t xml:space="preserve">Next Generation Sequencing techniques and data relevant for metagenomics analyses</w:t>
      </w:r>
      <w:r>
        <w:t xml:space="preserve">”</w:t>
      </w:r>
      <w:r>
        <w:t xml:space="preserve"> </w:t>
      </w:r>
      <w:r>
        <w:t xml:space="preserve">and</w:t>
      </w:r>
      <w:r>
        <w:t xml:space="preserve"> </w:t>
      </w:r>
      <w:r>
        <w:t xml:space="preserve">“</w:t>
      </w:r>
      <w:r>
        <w:t xml:space="preserve">Assembly of metagenomes</w:t>
      </w:r>
      <w:r>
        <w:t xml:space="preserve">”</w:t>
      </w:r>
      <w:r>
        <w:t xml:space="preserve">, 2011</w:t>
      </w:r>
    </w:p>
    <w:p>
      <w:pPr>
        <w:pStyle w:val="BodyText"/>
      </w:pPr>
      <w:r>
        <w:t xml:space="preserve">BIO2120 Evolusjonsbiologi (Univ. of Oslo): lectures on</w:t>
      </w:r>
      <w:r>
        <w:t xml:space="preserve"> </w:t>
      </w:r>
      <w:r>
        <w:t xml:space="preserve">“</w:t>
      </w:r>
      <w:r>
        <w:t xml:space="preserve">Evolution and Development</w:t>
      </w:r>
      <w:r>
        <w:t xml:space="preserve">”</w:t>
      </w:r>
      <w:r>
        <w:t xml:space="preserve"> </w:t>
      </w:r>
      <w:r>
        <w:t xml:space="preserve">and</w:t>
      </w:r>
      <w:r>
        <w:t xml:space="preserve"> </w:t>
      </w:r>
      <w:r>
        <w:t xml:space="preserve">“</w:t>
      </w:r>
      <w:r>
        <w:t xml:space="preserve">Evolution of Genes and Genomes</w:t>
      </w:r>
      <w:r>
        <w:t xml:space="preserve">”</w:t>
      </w:r>
      <w:r>
        <w:t xml:space="preserve">; group work, 2006 - 2007</w:t>
      </w:r>
    </w:p>
    <w:p>
      <w:pPr>
        <w:pStyle w:val="BodyText"/>
      </w:pPr>
      <w:r>
        <w:t xml:space="preserve">Erasmus ICP course Marine Cell Biology (Observatoire Oceanologique, Banyuls-sur-mer, France): lectures on</w:t>
      </w:r>
      <w:r>
        <w:t xml:space="preserve"> </w:t>
      </w:r>
      <w:r>
        <w:t xml:space="preserve">“</w:t>
      </w:r>
      <w:r>
        <w:t xml:space="preserve">Fundamental aspects of development</w:t>
      </w:r>
      <w:r>
        <w:t xml:space="preserve">”</w:t>
      </w:r>
      <w:r>
        <w:t xml:space="preserve"> </w:t>
      </w:r>
      <w:r>
        <w:t xml:space="preserve">and</w:t>
      </w:r>
      <w:r>
        <w:t xml:space="preserve"> </w:t>
      </w:r>
      <w:r>
        <w:t xml:space="preserve">“</w:t>
      </w:r>
      <w:r>
        <w:t xml:space="preserve">Cell cycle changes during development</w:t>
      </w:r>
      <w:r>
        <w:t xml:space="preserve">”</w:t>
      </w:r>
      <w:r>
        <w:t xml:space="preserve">, 2000</w:t>
      </w:r>
    </w:p>
    <w:bookmarkEnd w:id="64"/>
    <w:bookmarkStart w:id="67" w:name="workshops"/>
    <w:p>
      <w:pPr>
        <w:pStyle w:val="Heading4"/>
      </w:pPr>
      <w:r>
        <w:t xml:space="preserve">Workshops</w:t>
      </w:r>
    </w:p>
    <w:p>
      <w:pPr>
        <w:pStyle w:val="FirstParagraph"/>
      </w:pPr>
      <w:r>
        <w:t xml:space="preserve">Next-Gen Sequence Analysis Workshop</w:t>
      </w:r>
      <w:r>
        <w:t xml:space="preserve"> </w:t>
      </w:r>
      <w:r>
        <w:t xml:space="preserve">‘</w:t>
      </w:r>
      <w:r>
        <w:t xml:space="preserve">week 3</w:t>
      </w:r>
      <w:r>
        <w:t xml:space="preserve">’</w:t>
      </w:r>
      <w:r>
        <w:t xml:space="preserve"> </w:t>
      </w:r>
      <w:r>
        <w:t xml:space="preserve">(intermediate and advanced skills) (invited) 2015, Michigan State University</w:t>
      </w:r>
      <w:r>
        <w:t xml:space="preserve"> </w:t>
      </w:r>
      <w:hyperlink r:id="rId65">
        <w:r>
          <w:rPr>
            <w:rStyle w:val="Hyperlink"/>
          </w:rPr>
          <w:t xml:space="preserve">http://angus.readthedocs.org/en/2015/week3.html</w:t>
        </w:r>
      </w:hyperlink>
      <w:r>
        <w:t xml:space="preserve"> </w:t>
      </w:r>
      <w:r>
        <w:t xml:space="preserve">Univ. California Davis Assembly Masterclass (invited) 2013</w:t>
      </w:r>
      <w:r>
        <w:t xml:space="preserve"> </w:t>
      </w:r>
      <w:hyperlink r:id="rId66">
        <w:r>
          <w:rPr>
            <w:rStyle w:val="Hyperlink"/>
          </w:rPr>
          <w:t xml:space="preserve">http://davis-assembly-masterclass-2013.readthedocs.org/en/latest/</w:t>
        </w:r>
      </w:hyperlink>
      <w:r>
        <w:t xml:space="preserve"> </w:t>
      </w:r>
      <w:r>
        <w:rPr>
          <w:i/>
        </w:rPr>
        <w:t xml:space="preserve">De novo</w:t>
      </w:r>
      <w:r>
        <w:t xml:space="preserve"> </w:t>
      </w:r>
      <w:r>
        <w:t xml:space="preserve">genome assembly, Univ. of Oslo, 2011</w:t>
      </w:r>
      <w:r>
        <w:t xml:space="preserve"> </w:t>
      </w:r>
      <w:r>
        <w:rPr>
          <w:i/>
        </w:rPr>
        <w:t xml:space="preserve">De novo</w:t>
      </w:r>
      <w:r>
        <w:t xml:space="preserve"> </w:t>
      </w:r>
      <w:r>
        <w:t xml:space="preserve">genome assembly (invited), Univ. of Gothenburg, 2011</w:t>
      </w:r>
    </w:p>
    <w:bookmarkEnd w:id="67"/>
    <w:bookmarkEnd w:id="68"/>
    <w:bookmarkStart w:id="75" w:name="software-og-data-carpentry"/>
    <w:p>
      <w:pPr>
        <w:pStyle w:val="Heading3"/>
      </w:pPr>
      <w:r>
        <w:t xml:space="preserve">Software og Data Carpentry</w:t>
      </w:r>
    </w:p>
    <w:p>
      <w:pPr>
        <w:pStyle w:val="FirstParagraph"/>
      </w:pPr>
      <w:hyperlink r:id="rId69">
        <w:r>
          <w:rPr>
            <w:rStyle w:val="Hyperlink"/>
          </w:rPr>
          <w:t xml:space="preserve">Software Carpentry</w:t>
        </w:r>
      </w:hyperlink>
      <w:r>
        <w:t xml:space="preserve"> </w:t>
      </w:r>
      <w:r>
        <w:t xml:space="preserve">and</w:t>
      </w:r>
      <w:r>
        <w:t xml:space="preserve"> </w:t>
      </w:r>
      <w:hyperlink r:id="rId70">
        <w:r>
          <w:rPr>
            <w:rStyle w:val="Hyperlink"/>
          </w:rPr>
          <w:t xml:space="preserve">Data Carpentry</w:t>
        </w:r>
      </w:hyperlink>
      <w:r>
        <w:t xml:space="preserve"> </w:t>
      </w:r>
      <w:r>
        <w:t xml:space="preserve">are teaching researchers in science, engineering, medicine, and related disciplines worldwide computing and data analysis skills through short workshops using volunteer instructors. I am a certified instructor of and organize and lead workshops in Norway and Sweden. Together with Karin Lagesen and with support from the Science Library (UiO), we have established Software and Data Carpentry at the University of Oslo, see</w:t>
      </w:r>
      <w:r>
        <w:t xml:space="preserve"> </w:t>
      </w:r>
      <w:hyperlink r:id="rId71">
        <w:r>
          <w:rPr>
            <w:rStyle w:val="Hyperlink"/>
          </w:rPr>
          <w:t xml:space="preserve">uio.no/carpentry</w:t>
        </w:r>
      </w:hyperlink>
      <w:r>
        <w:t xml:space="preserve">, organising workshops more and more frequently, and increasing the number of certified instructors. I am also a certified</w:t>
      </w:r>
      <w:r>
        <w:t xml:space="preserve"> </w:t>
      </w:r>
      <w:r>
        <w:rPr>
          <w:i/>
        </w:rPr>
        <w:t xml:space="preserve">instructor trainer</w:t>
      </w:r>
      <w:r>
        <w:t xml:space="preserve">, which enables me to give workshops for researchers that want to become instructors for Software or Data Carpentry.</w:t>
      </w:r>
    </w:p>
    <w:bookmarkStart w:id="72" w:name="software-carpentry-workshops-taught"/>
    <w:p>
      <w:pPr>
        <w:pStyle w:val="Heading4"/>
      </w:pPr>
      <w:r>
        <w:t xml:space="preserve">Software Carpentry workshops taught</w:t>
      </w:r>
    </w:p>
    <w:p>
      <w:pPr>
        <w:pStyle w:val="FirstParagraph"/>
      </w:pPr>
      <w:r>
        <w:t xml:space="preserve">University of Oslo: 2012, 2013, 2015, 2016, 2017</w:t>
      </w:r>
      <w:r>
        <w:t xml:space="preserve"> </w:t>
      </w:r>
      <w:r>
        <w:t xml:space="preserve">Netherlands eScience Centre: 2017</w:t>
      </w:r>
      <w:r>
        <w:t xml:space="preserve"> </w:t>
      </w:r>
      <w:r>
        <w:t xml:space="preserve">University of Bergen: 2014</w:t>
      </w:r>
      <w:r>
        <w:t xml:space="preserve"> </w:t>
      </w:r>
      <w:r>
        <w:t xml:space="preserve">Science for Life Laboratory, Stockholm, Sweden 2014</w:t>
      </w:r>
    </w:p>
    <w:bookmarkEnd w:id="72"/>
    <w:bookmarkStart w:id="74" w:name="X65f11399793973b3a139ed18ba9888be72e8206"/>
    <w:p>
      <w:pPr>
        <w:pStyle w:val="Heading4"/>
      </w:pPr>
      <w:r>
        <w:t xml:space="preserve">Software/Data Carpentry instructor retreat</w:t>
      </w:r>
    </w:p>
    <w:p>
      <w:pPr>
        <w:pStyle w:val="FirstParagraph"/>
      </w:pPr>
      <w:r>
        <w:t xml:space="preserve">I gave a session on Interactive learning techniques, recording:</w:t>
      </w:r>
      <w:r>
        <w:t xml:space="preserve"> </w:t>
      </w:r>
      <w:hyperlink r:id="rId73">
        <w:r>
          <w:rPr>
            <w:rStyle w:val="Hyperlink"/>
          </w:rPr>
          <w:t xml:space="preserve">https://www.youtube.com/watch?v=QptHJgzooU0</w:t>
        </w:r>
      </w:hyperlink>
      <w:r>
        <w:t xml:space="preserve">.</w:t>
      </w:r>
    </w:p>
    <w:bookmarkEnd w:id="74"/>
    <w:bookmarkEnd w:id="75"/>
    <w:bookmarkEnd w:id="76"/>
    <w:bookmarkStart w:id="82" w:name="references"/>
    <w:p>
      <w:pPr>
        <w:pStyle w:val="Heading2"/>
      </w:pPr>
      <w:r>
        <w:t xml:space="preserve">References</w:t>
      </w:r>
    </w:p>
    <w:bookmarkStart w:id="77" w:name="millerMagicalNumberSeven1956"/>
    <w:bookmarkEnd w:id="77"/>
    <w:p>
      <w:pPr>
        <w:numPr>
          <w:ilvl w:val="0"/>
          <w:numId w:val="1000"/>
        </w:numPr>
        <w:pStyle w:val="Compact"/>
      </w:pPr>
      <w:r>
        <w:rPr>
          <w:b/>
        </w:rPr>
        <w:t xml:space="preserve">G. A. Miller</w:t>
      </w:r>
      <w:r>
        <w:t xml:space="preserve">.</w:t>
      </w:r>
      <w:r>
        <w:t xml:space="preserve"> </w:t>
      </w:r>
      <w:r>
        <w:t xml:space="preserve">The Magical Number Seven, Plus Or Minus Two: Some Limits on Our Capacity for Processing Information.,</w:t>
      </w:r>
      <w:r>
        <w:t xml:space="preserve"> </w:t>
      </w:r>
      <w:r>
        <w:rPr>
          <w:i/>
        </w:rPr>
        <w:t xml:space="preserve">Psychological Review</w:t>
      </w:r>
      <w:r>
        <w:t xml:space="preserve">,</w:t>
      </w:r>
      <w:r>
        <w:t xml:space="preserve"> </w:t>
      </w:r>
      <w:r>
        <w:t xml:space="preserve">63(2),</w:t>
      </w:r>
      <w:r>
        <w:t xml:space="preserve"> </w:t>
      </w:r>
      <w:r>
        <w:t xml:space="preserve">pp. 81-97,</w:t>
      </w:r>
      <w:r>
        <w:t xml:space="preserve"> </w:t>
      </w:r>
      <w:hyperlink r:id="rId78">
        <w:r>
          <w:rPr>
            <w:rStyle w:val="Hyperlink"/>
          </w:rPr>
          <w:t xml:space="preserve">doi: 10.1037/h0043158</w:t>
        </w:r>
      </w:hyperlink>
      <w:r>
        <w:t xml:space="preserve">,</w:t>
      </w:r>
    </w:p>
    <w:bookmarkStart w:id="79" w:name="wilson_good_2017"/>
    <w:bookmarkEnd w:id="79"/>
    <w:p>
      <w:pPr>
        <w:numPr>
          <w:ilvl w:val="0"/>
          <w:numId w:val="1000"/>
        </w:numPr>
        <w:pStyle w:val="Compact"/>
      </w:pPr>
      <w:r>
        <w:rPr>
          <w:b/>
        </w:rPr>
        <w:t xml:space="preserve">G. Wilson, J. Bryan, K. Cranston, J. Kitzes, L. Nederbragt and T. K. Teal</w:t>
      </w:r>
      <w:r>
        <w:t xml:space="preserve">.</w:t>
      </w:r>
      <w:r>
        <w:t xml:space="preserve"> </w:t>
      </w:r>
      <w:r>
        <w:t xml:space="preserve">Good Enough Practices in Scientific Computing,</w:t>
      </w:r>
      <w:r>
        <w:t xml:space="preserve"> </w:t>
      </w:r>
      <w:r>
        <w:rPr>
          <w:i/>
        </w:rPr>
        <w:t xml:space="preserve">PLOS Computational Biology</w:t>
      </w:r>
      <w:r>
        <w:t xml:space="preserve">,</w:t>
      </w:r>
      <w:r>
        <w:t xml:space="preserve"> </w:t>
      </w:r>
      <w:r>
        <w:t xml:space="preserve">13(6),</w:t>
      </w:r>
      <w:r>
        <w:t xml:space="preserve"> </w:t>
      </w:r>
      <w:r>
        <w:t xml:space="preserve">pp. e1005510,</w:t>
      </w:r>
      <w:r>
        <w:t xml:space="preserve"> </w:t>
      </w:r>
      <w:hyperlink r:id="rId80">
        <w:r>
          <w:rPr>
            <w:rStyle w:val="Hyperlink"/>
          </w:rPr>
          <w:t xml:space="preserve">doi: 10.1371/journal.pcbi.1005510</w:t>
        </w:r>
      </w:hyperlink>
      <w:r>
        <w:t xml:space="preserve">,</w:t>
      </w:r>
      <w:r>
        <w:t xml:space="preserve"> </w:t>
      </w:r>
      <w:r>
        <w:t xml:space="preserve">2017,</w:t>
      </w:r>
      <w:r>
        <w:t xml:space="preserve"> </w:t>
      </w:r>
      <w:hyperlink r:id="rId81">
        <w:r>
          <w:rPr>
            <w:rStyle w:val="Hyperlink"/>
          </w:rPr>
          <w:t xml:space="preserve">http://journals.plos.org/ploscompbiol/article?id=10.1371/journal.pcbi.1005510</w:t>
        </w:r>
      </w:hyperlink>
      <w:r>
        <w:t xml:space="preserve">.</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956">
    <w:nsid w:val="47261bad"/>
    <w:multiLevelType w:val="multilevel"/>
    <w:lvl w:ilvl="0">
      <w:start w:val="1956"/>
      <w:numFmt w:val="decimal"/>
      <w:lvlText w:val="%1."/>
      <w:lvlJc w:val="left"/>
      <w:pPr>
        <w:tabs>
          <w:tab w:val="num" w:pos="0"/>
        </w:tabs>
        <w:ind w:left="480" w:hanging="480"/>
      </w:pPr>
    </w:lvl>
    <w:lvl w:ilvl="1">
      <w:start w:val="1956"/>
      <w:numFmt w:val="decimal"/>
      <w:lvlText w:val="%2."/>
      <w:lvlJc w:val="left"/>
      <w:pPr>
        <w:tabs>
          <w:tab w:val="num" w:pos="720"/>
        </w:tabs>
        <w:ind w:left="1200" w:hanging="480"/>
      </w:pPr>
    </w:lvl>
    <w:lvl w:ilvl="2">
      <w:start w:val="1956"/>
      <w:numFmt w:val="decimal"/>
      <w:lvlText w:val="%3."/>
      <w:lvlJc w:val="left"/>
      <w:pPr>
        <w:tabs>
          <w:tab w:val="num" w:pos="1440"/>
        </w:tabs>
        <w:ind w:left="1920" w:hanging="480"/>
      </w:pPr>
    </w:lvl>
    <w:lvl w:ilvl="3">
      <w:start w:val="1956"/>
      <w:numFmt w:val="decimal"/>
      <w:lvlText w:val="%4."/>
      <w:lvlJc w:val="left"/>
      <w:pPr>
        <w:tabs>
          <w:tab w:val="num" w:pos="2160"/>
        </w:tabs>
        <w:ind w:left="2640" w:hanging="480"/>
      </w:pPr>
    </w:lvl>
    <w:lvl w:ilvl="4">
      <w:start w:val="1956"/>
      <w:numFmt w:val="decimal"/>
      <w:lvlText w:val="%5."/>
      <w:lvlJc w:val="left"/>
      <w:pPr>
        <w:tabs>
          <w:tab w:val="num" w:pos="2880"/>
        </w:tabs>
        <w:ind w:left="3360" w:hanging="480"/>
      </w:pPr>
    </w:lvl>
    <w:lvl w:ilvl="5">
      <w:start w:val="1956"/>
      <w:numFmt w:val="decimal"/>
      <w:lvlText w:val="%6."/>
      <w:lvlJc w:val="left"/>
      <w:pPr>
        <w:tabs>
          <w:tab w:val="num" w:pos="3600"/>
        </w:tabs>
        <w:ind w:left="4080" w:hanging="480"/>
      </w:pPr>
    </w:lvl>
    <w:lvl w:ilvl="6">
      <w:start w:val="1956"/>
      <w:numFmt w:val="decimal"/>
      <w:lvlText w:val="%7."/>
      <w:lvlJc w:val="left"/>
      <w:pPr>
        <w:tabs>
          <w:tab w:val="num" w:pos="4320"/>
        </w:tabs>
        <w:ind w:left="4800" w:hanging="480"/>
      </w:pPr>
    </w:lvl>
    <w:lvl w:ilvl="7">
      <w:start w:val="1956"/>
      <w:numFmt w:val="decimal"/>
      <w:lvlText w:val="%8."/>
      <w:lvlJc w:val="left"/>
      <w:pPr>
        <w:tabs>
          <w:tab w:val="num" w:pos="5040"/>
        </w:tabs>
        <w:ind w:left="5520" w:hanging="480"/>
      </w:pPr>
    </w:lvl>
    <w:lvl w:ilvl="8">
      <w:start w:val="1956"/>
      <w:numFmt w:val="decimal"/>
      <w:lvlText w:val="%9."/>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956"/>
    <w:lvlOverride w:ilvl="0">
      <w:startOverride w:val="1956"/>
    </w:lvlOverride>
    <w:lvlOverride w:ilvl="1">
      <w:startOverride w:val="1956"/>
    </w:lvlOverride>
    <w:lvlOverride w:ilvl="2">
      <w:startOverride w:val="1956"/>
    </w:lvlOverride>
    <w:lvlOverride w:ilvl="3">
      <w:startOverride w:val="1956"/>
    </w:lvlOverride>
    <w:lvlOverride w:ilvl="4">
      <w:startOverride w:val="1956"/>
    </w:lvlOverride>
    <w:lvlOverride w:ilvl="5">
      <w:startOverride w:val="1956"/>
    </w:lvlOverride>
    <w:lvlOverride w:ilvl="6">
      <w:startOverride w:val="1956"/>
    </w:lvlOverride>
    <w:lvlOverride w:ilvl="7">
      <w:startOverride w:val="1956"/>
    </w:lvlOverride>
    <w:lvlOverride w:ilvl="8">
      <w:startOverride w:val="195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http://angus.readthedocs.org/en/2015/week3.html" TargetMode="External" /><Relationship Type="http://schemas.openxmlformats.org/officeDocument/2006/relationships/hyperlink" Id="rId66" Target="http://davis-assembly-masterclass-2013.readthedocs.org/en/latest/" TargetMode="External" /><Relationship Type="http://schemas.openxmlformats.org/officeDocument/2006/relationships/hyperlink" Id="rId61" Target="http://inf-biox121.readthedocs.org/en/2015/" TargetMode="External" /><Relationship Type="http://schemas.openxmlformats.org/officeDocument/2006/relationships/hyperlink" Id="rId62" Target="http://inf-biox121.readthedocs.org/en/2016/Assembly/" TargetMode="External" /><Relationship Type="http://schemas.openxmlformats.org/officeDocument/2006/relationships/hyperlink" Id="rId81" Target="http://journals.plos.org/ploscompbiol/article?id=10.1371/journal.pcbi.1005510" TargetMode="External" /><Relationship Type="http://schemas.openxmlformats.org/officeDocument/2006/relationships/hyperlink" Id="rId69" Target="http://software-carpentry.org/" TargetMode="External" /><Relationship Type="http://schemas.openxmlformats.org/officeDocument/2006/relationships/hyperlink" Id="rId71" Target="http://uio.no/carpentry" TargetMode="External" /><Relationship Type="http://schemas.openxmlformats.org/officeDocument/2006/relationships/hyperlink" Id="rId70" Target="http://www.datacarpentry.org/" TargetMode="External" /><Relationship Type="http://schemas.openxmlformats.org/officeDocument/2006/relationships/hyperlink" Id="rId60" Target="http://www.uio.no/studier/emner/matnat/ibv/BIOS1100" TargetMode="External" /><Relationship Type="http://schemas.openxmlformats.org/officeDocument/2006/relationships/hyperlink" Id="rId32" Target="https://carpentries.org" TargetMode="External" /><Relationship Type="http://schemas.openxmlformats.org/officeDocument/2006/relationships/hyperlink" Id="rId78" Target="https://dx.doi.org/10.1037/h0043158" TargetMode="External" /><Relationship Type="http://schemas.openxmlformats.org/officeDocument/2006/relationships/hyperlink" Id="rId80" Target="https://dx.doi.org/10.1371/journal.pcbi.1005510" TargetMode="External" /><Relationship Type="http://schemas.openxmlformats.org/officeDocument/2006/relationships/hyperlink" Id="rId52" Target="https://jupyter.org" TargetMode="External" /><Relationship Type="http://schemas.openxmlformats.org/officeDocument/2006/relationships/hyperlink" Id="rId43" Target="https://mentimeter.com" TargetMode="External" /><Relationship Type="http://schemas.openxmlformats.org/officeDocument/2006/relationships/hyperlink" Id="rId49" Target="https://www.uio.no/studier/emner/matnat/ibv/BIOS1100/" TargetMode="External" /><Relationship Type="http://schemas.openxmlformats.org/officeDocument/2006/relationships/hyperlink" Id="rId50" Target="https://www.uio.no/studier/emner/matnat/ibv/BIOS1100/index-eng.html" TargetMode="External" /><Relationship Type="http://schemas.openxmlformats.org/officeDocument/2006/relationships/hyperlink" Id="rId73" Target="https://www.youtube.com/watch?v=QptHJgzooU0" TargetMode="External" /><Relationship Type="http://schemas.openxmlformats.org/officeDocument/2006/relationships/hyperlink" Id="rId34" Target="https://www.zotero.org/google-docs/?1KrEqk" TargetMode="External" /><Relationship Type="http://schemas.openxmlformats.org/officeDocument/2006/relationships/hyperlink" Id="rId36" Target="https://www.zotero.org/google-docs/?Etqt1z" TargetMode="External" /><Relationship Type="http://schemas.openxmlformats.org/officeDocument/2006/relationships/hyperlink" Id="rId30" Target="https://www.zotero.org/google-docs/?NDSa2v" TargetMode="External" /><Relationship Type="http://schemas.openxmlformats.org/officeDocument/2006/relationships/hyperlink" Id="rId28" Target="https://www.zotero.org/google-docs/?OjF63O" TargetMode="External" /><Relationship Type="http://schemas.openxmlformats.org/officeDocument/2006/relationships/hyperlink" Id="rId26" Target="https://www.zotero.org/google-docs/?VMxIhb" TargetMode="External" /><Relationship Type="http://schemas.openxmlformats.org/officeDocument/2006/relationships/hyperlink" Id="rId25" Target="https://www.zotero.org/google-docs/?XtsuNg" TargetMode="External" /><Relationship Type="http://schemas.openxmlformats.org/officeDocument/2006/relationships/hyperlink" Id="rId47" Target="https://www.zotero.org/google-docs/?cBFxN3" TargetMode="External" /><Relationship Type="http://schemas.openxmlformats.org/officeDocument/2006/relationships/hyperlink" Id="rId29" Target="https://www.zotero.org/google-docs/?dw50Jz" TargetMode="External" /><Relationship Type="http://schemas.openxmlformats.org/officeDocument/2006/relationships/hyperlink" Id="rId46" Target="https://www.zotero.org/google-docs/?jWdTHb" TargetMode="External" /><Relationship Type="http://schemas.openxmlformats.org/officeDocument/2006/relationships/hyperlink" Id="rId33" Target="https://www.zotero.org/google-docs/?qilqqq" TargetMode="External" /><Relationship Type="http://schemas.openxmlformats.org/officeDocument/2006/relationships/hyperlink" Id="rId35" Target="https://www.zotero.org/google-docs/?sHmFMo" TargetMode="External" /><Relationship Type="http://schemas.openxmlformats.org/officeDocument/2006/relationships/hyperlink" Id="rId40" Target="https://www.zotero.org/google-docs/?vC9WNx" TargetMode="External" /><Relationship Type="http://schemas.openxmlformats.org/officeDocument/2006/relationships/hyperlink" Id="rId39" Target="https://www.zotero.org/google-docs/?vCsJAA" TargetMode="External" /></Relationships>
</file>

<file path=word/_rels/footnotes.xml.rels><?xml version="1.0" encoding="UTF-8"?>
<Relationships xmlns="http://schemas.openxmlformats.org/package/2006/relationships"><Relationship Type="http://schemas.openxmlformats.org/officeDocument/2006/relationships/hyperlink" Id="rId65" Target="http://angus.readthedocs.org/en/2015/week3.html" TargetMode="External" /><Relationship Type="http://schemas.openxmlformats.org/officeDocument/2006/relationships/hyperlink" Id="rId66" Target="http://davis-assembly-masterclass-2013.readthedocs.org/en/latest/" TargetMode="External" /><Relationship Type="http://schemas.openxmlformats.org/officeDocument/2006/relationships/hyperlink" Id="rId61" Target="http://inf-biox121.readthedocs.org/en/2015/" TargetMode="External" /><Relationship Type="http://schemas.openxmlformats.org/officeDocument/2006/relationships/hyperlink" Id="rId62" Target="http://inf-biox121.readthedocs.org/en/2016/Assembly/" TargetMode="External" /><Relationship Type="http://schemas.openxmlformats.org/officeDocument/2006/relationships/hyperlink" Id="rId81" Target="http://journals.plos.org/ploscompbiol/article?id=10.1371/journal.pcbi.1005510" TargetMode="External" /><Relationship Type="http://schemas.openxmlformats.org/officeDocument/2006/relationships/hyperlink" Id="rId69" Target="http://software-carpentry.org/" TargetMode="External" /><Relationship Type="http://schemas.openxmlformats.org/officeDocument/2006/relationships/hyperlink" Id="rId71" Target="http://uio.no/carpentry" TargetMode="External" /><Relationship Type="http://schemas.openxmlformats.org/officeDocument/2006/relationships/hyperlink" Id="rId70" Target="http://www.datacarpentry.org/" TargetMode="External" /><Relationship Type="http://schemas.openxmlformats.org/officeDocument/2006/relationships/hyperlink" Id="rId60" Target="http://www.uio.no/studier/emner/matnat/ibv/BIOS1100" TargetMode="External" /><Relationship Type="http://schemas.openxmlformats.org/officeDocument/2006/relationships/hyperlink" Id="rId32" Target="https://carpentries.org" TargetMode="External" /><Relationship Type="http://schemas.openxmlformats.org/officeDocument/2006/relationships/hyperlink" Id="rId78" Target="https://dx.doi.org/10.1037/h0043158" TargetMode="External" /><Relationship Type="http://schemas.openxmlformats.org/officeDocument/2006/relationships/hyperlink" Id="rId80" Target="https://dx.doi.org/10.1371/journal.pcbi.1005510" TargetMode="External" /><Relationship Type="http://schemas.openxmlformats.org/officeDocument/2006/relationships/hyperlink" Id="rId52" Target="https://jupyter.org" TargetMode="External" /><Relationship Type="http://schemas.openxmlformats.org/officeDocument/2006/relationships/hyperlink" Id="rId43" Target="https://mentimeter.com" TargetMode="External" /><Relationship Type="http://schemas.openxmlformats.org/officeDocument/2006/relationships/hyperlink" Id="rId49" Target="https://www.uio.no/studier/emner/matnat/ibv/BIOS1100/" TargetMode="External" /><Relationship Type="http://schemas.openxmlformats.org/officeDocument/2006/relationships/hyperlink" Id="rId50" Target="https://www.uio.no/studier/emner/matnat/ibv/BIOS1100/index-eng.html" TargetMode="External" /><Relationship Type="http://schemas.openxmlformats.org/officeDocument/2006/relationships/hyperlink" Id="rId73" Target="https://www.youtube.com/watch?v=QptHJgzooU0" TargetMode="External" /><Relationship Type="http://schemas.openxmlformats.org/officeDocument/2006/relationships/hyperlink" Id="rId34" Target="https://www.zotero.org/google-docs/?1KrEqk" TargetMode="External" /><Relationship Type="http://schemas.openxmlformats.org/officeDocument/2006/relationships/hyperlink" Id="rId36" Target="https://www.zotero.org/google-docs/?Etqt1z" TargetMode="External" /><Relationship Type="http://schemas.openxmlformats.org/officeDocument/2006/relationships/hyperlink" Id="rId30" Target="https://www.zotero.org/google-docs/?NDSa2v" TargetMode="External" /><Relationship Type="http://schemas.openxmlformats.org/officeDocument/2006/relationships/hyperlink" Id="rId28" Target="https://www.zotero.org/google-docs/?OjF63O" TargetMode="External" /><Relationship Type="http://schemas.openxmlformats.org/officeDocument/2006/relationships/hyperlink" Id="rId26" Target="https://www.zotero.org/google-docs/?VMxIhb" TargetMode="External" /><Relationship Type="http://schemas.openxmlformats.org/officeDocument/2006/relationships/hyperlink" Id="rId25" Target="https://www.zotero.org/google-docs/?XtsuNg" TargetMode="External" /><Relationship Type="http://schemas.openxmlformats.org/officeDocument/2006/relationships/hyperlink" Id="rId47" Target="https://www.zotero.org/google-docs/?cBFxN3" TargetMode="External" /><Relationship Type="http://schemas.openxmlformats.org/officeDocument/2006/relationships/hyperlink" Id="rId29" Target="https://www.zotero.org/google-docs/?dw50Jz" TargetMode="External" /><Relationship Type="http://schemas.openxmlformats.org/officeDocument/2006/relationships/hyperlink" Id="rId46" Target="https://www.zotero.org/google-docs/?jWdTHb" TargetMode="External" /><Relationship Type="http://schemas.openxmlformats.org/officeDocument/2006/relationships/hyperlink" Id="rId33" Target="https://www.zotero.org/google-docs/?qilqqq" TargetMode="External" /><Relationship Type="http://schemas.openxmlformats.org/officeDocument/2006/relationships/hyperlink" Id="rId35" Target="https://www.zotero.org/google-docs/?sHmFMo" TargetMode="External" /><Relationship Type="http://schemas.openxmlformats.org/officeDocument/2006/relationships/hyperlink" Id="rId40" Target="https://www.zotero.org/google-docs/?vC9WNx" TargetMode="External" /><Relationship Type="http://schemas.openxmlformats.org/officeDocument/2006/relationships/hyperlink" Id="rId39" Target="https://www.zotero.org/google-docs/?vCsJ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2021-02-08T09:10:18Z</dcterms:created>
  <dcterms:modified xsi:type="dcterms:W3CDTF">2021-02-08T09:10:18Z</dcterms:modified>
</cp:coreProperties>
</file>

<file path=docProps/custom.xml><?xml version="1.0" encoding="utf-8"?>
<Properties xmlns="http://schemas.openxmlformats.org/officeDocument/2006/custom-properties" xmlns:vt="http://schemas.openxmlformats.org/officeDocument/2006/docPropsVTypes"/>
</file>