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5" w:name="X0b87ae338d48460bb27185b5f87ca4fe2385e26"/>
    <w:p>
      <w:pPr>
        <w:pStyle w:val="Heading2"/>
      </w:pPr>
      <w:r>
        <w:t xml:space="preserve">Hvordan jeg som underviser har utviklet meg</w:t>
      </w:r>
    </w:p>
    <w:bookmarkStart w:id="22" w:name="begynnelsen"/>
    <w:p>
      <w:pPr>
        <w:pStyle w:val="Heading3"/>
      </w:pPr>
      <w:r>
        <w:t xml:space="preserve">Begynnelsen</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3"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pStyle w:val="FirstParagraph"/>
      </w:pPr>
      <w:r>
        <w:t xml:space="preserve">ha med Carpentries, TTT, og inflyttelsen!</w:t>
      </w:r>
    </w:p>
    <w:bookmarkEnd w:id="23"/>
    <w:bookmarkStart w:id="24" w:name="bios1100-2017-2020"/>
    <w:p>
      <w:pPr>
        <w:pStyle w:val="Heading3"/>
      </w:pPr>
      <w:r>
        <w:t xml:space="preserve">BIOS1100 2017-2020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4"/>
    <w:bookmarkEnd w:id="25"/>
    <w:bookmarkStart w:id="58" w:name="X5cd5dd38664be8d7279ad1011243c6364a7f223"/>
    <w:p>
      <w:pPr>
        <w:pStyle w:val="Heading2"/>
      </w:pPr>
      <w:r>
        <w:t xml:space="preserve">Min undervisningsfilosofi (Teaching Statement)</w:t>
      </w:r>
    </w:p>
    <w:p>
      <w:pPr>
        <w:pStyle w:val="FirstParagraph"/>
      </w:pPr>
      <w:r>
        <w:t xml:space="preserve">FIXME fix references</w:t>
      </w:r>
    </w:p>
    <w:bookmarkStart w:id="26"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6"/>
    <w:bookmarkStart w:id="40" w:name="X600933c3d57d09a14ac492e512f1d1a7ff11f25"/>
    <w:p>
      <w:pPr>
        <w:pStyle w:val="Heading3"/>
      </w:pPr>
      <w:r>
        <w:t xml:space="preserve">Cognitive load theory and the need to manage cognitive load</w:t>
      </w:r>
    </w:p>
    <w:bookmarkStart w:id="29"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[@millerMagicalNumberSeven1956]</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27">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28">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29"/>
    <w:bookmarkStart w:id="33"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0">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1">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2">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3"/>
    <w:bookmarkStart w:id="39"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4">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5">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6">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37">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38">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39"/>
    <w:bookmarkEnd w:id="40"/>
    <w:bookmarkStart w:id="47" w:name="formative-assessment"/>
    <w:p>
      <w:pPr>
        <w:pStyle w:val="Heading3"/>
      </w:pPr>
      <w:r>
        <w:t xml:space="preserve">Formative Assessment</w:t>
      </w:r>
    </w:p>
    <w:bookmarkStart w:id="43"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1">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2">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3"/>
    <w:bookmarkStart w:id="44"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4"/>
    <w:bookmarkStart w:id="46"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5">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6"/>
    <w:bookmarkEnd w:id="47"/>
    <w:bookmarkStart w:id="56" w:name="constructive-alignment"/>
    <w:p>
      <w:pPr>
        <w:pStyle w:val="Heading3"/>
      </w:pPr>
      <w:r>
        <w:t xml:space="preserve">Constructive Alignment</w:t>
      </w:r>
    </w:p>
    <w:bookmarkStart w:id="50"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48">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49">
        <w:r>
          <w:rPr>
            <w:rStyle w:val="Hyperlink"/>
          </w:rPr>
          <w:t xml:space="preserve">(Biggs, 2012; Biggs and Tang,</w:t>
        </w:r>
        <w:r>
          <w:rPr>
            <w:rStyle w:val="Hyperlink"/>
          </w:rPr>
          <w:t xml:space="preserve"> </w:t>
        </w:r>
        <w:r>
          <w:rPr>
            <w:rStyle w:val="Hyperlink"/>
          </w:rPr>
          <w:t xml:space="preserve">2011)</w:t>
        </w:r>
      </w:hyperlink>
      <w:r>
        <w:t xml:space="preserve">.</w:t>
      </w:r>
    </w:p>
    <w:bookmarkEnd w:id="50"/>
    <w:bookmarkStart w:id="53"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51">
        <w:r>
          <w:rPr>
            <w:rStyle w:val="Hyperlink"/>
            <w:u w:val="single"/>
          </w:rPr>
          <w:t xml:space="preserve">https://www.uio.no/studier/emner/matnat/ibv/BIOS1100/</w:t>
        </w:r>
      </w:hyperlink>
      <w:r>
        <w:t xml:space="preserve"> </w:t>
      </w:r>
      <w:r>
        <w:t xml:space="preserve">(English:</w:t>
      </w:r>
      <w:r>
        <w:t xml:space="preserve"> </w:t>
      </w:r>
      <w:hyperlink r:id="rId52">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3"/>
    <w:bookmarkStart w:id="55"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4">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5"/>
    <w:bookmarkEnd w:id="56"/>
    <w:bookmarkStart w:id="57"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7"/>
    <w:bookmarkEnd w:id="58"/>
    <w:bookmarkStart w:id="59" w:name="fokus-på-studentenes-læring"/>
    <w:p>
      <w:pPr>
        <w:pStyle w:val="Heading2"/>
      </w:pPr>
      <w:r>
        <w:t xml:space="preserve">Fokus på studentenes læring</w:t>
      </w:r>
    </w:p>
    <w:p>
      <w:pPr>
        <w:pStyle w:val="FirstParagraph"/>
      </w:pPr>
      <w:r>
        <w:t xml:space="preserve">Placeholder</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 men mer konkret, eksempler</w:t>
      </w:r>
    </w:p>
    <w:bookmarkEnd w:id="59"/>
    <w:bookmarkStart w:id="60" w:name="bruk-av-forskning-i-undervisningen"/>
    <w:p>
      <w:pPr>
        <w:pStyle w:val="Heading2"/>
      </w:pPr>
      <w:r>
        <w:t xml:space="preserve">Bruk av forskning i undervisningen</w:t>
      </w:r>
    </w:p>
    <w:p>
      <w:pPr>
        <w:pStyle w:val="FirstParagraph"/>
      </w:pPr>
      <w:r>
        <w:t xml:space="preserve">Placeholder</w:t>
      </w:r>
    </w:p>
    <w:p>
      <w:pPr>
        <w:numPr>
          <w:ilvl w:val="0"/>
          <w:numId w:val="1004"/>
        </w:numPr>
        <w:pStyle w:val="Compact"/>
      </w:pPr>
      <w:r>
        <w:t xml:space="preserve">hva vol jeg at studentene skal gjøre med forksning jeg presenterer</w:t>
      </w:r>
    </w:p>
    <w:bookmarkEnd w:id="60"/>
    <w:bookmarkStart w:id="70" w:name="X5040ff6229358d1301f2c88b55f5a951722da5a"/>
    <w:p>
      <w:pPr>
        <w:pStyle w:val="Heading2"/>
      </w:pPr>
      <w:r>
        <w:t xml:space="preserve">Kollegialt samarbeid om utvikling av undervisning</w:t>
      </w:r>
    </w:p>
    <w:bookmarkStart w:id="64" w:name="underverk"/>
    <w:p>
      <w:pPr>
        <w:pStyle w:val="Heading3"/>
      </w:pPr>
      <w:r>
        <w:t xml:space="preserve">Underverk</w:t>
      </w:r>
    </w:p>
    <w:p>
      <w:pPr>
        <w:numPr>
          <w:ilvl w:val="0"/>
          <w:numId w:val="1005"/>
        </w:numPr>
        <w:pStyle w:val="Compact"/>
      </w:pPr>
      <w:r>
        <w:t xml:space="preserve">min rolle i programrevisjon biovitenskap 2017-</w:t>
      </w:r>
    </w:p>
    <w:p>
      <w:pPr>
        <w:numPr>
          <w:ilvl w:val="0"/>
          <w:numId w:val="1005"/>
        </w:numPr>
        <w:pStyle w:val="Compact"/>
      </w:pPr>
      <w:r>
        <w:t xml:space="preserve">min rolle i CCSE</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rPr>
          <w:rStyle w:val="FootnoteReference"/>
        </w:rPr>
        <w:footnoteReference w:id="61"/>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6"/>
        </w:numPr>
        <w:pStyle w:val="Compact"/>
      </w:pPr>
      <w:r>
        <w:t xml:space="preserve">hvordan å skrive LæringsUtbytte Beskrivelser</w:t>
      </w:r>
    </w:p>
    <w:p>
      <w:pPr>
        <w:numPr>
          <w:ilvl w:val="0"/>
          <w:numId w:val="1006"/>
        </w:numPr>
        <w:pStyle w:val="Compact"/>
      </w:pPr>
      <w:r>
        <w:t xml:space="preserve">Læringsmål og baklengsdesign</w:t>
      </w:r>
    </w:p>
    <w:p>
      <w:pPr>
        <w:numPr>
          <w:ilvl w:val="0"/>
          <w:numId w:val="1006"/>
        </w:numPr>
        <w:pStyle w:val="Compact"/>
      </w:pPr>
      <w:r>
        <w:t xml:space="preserve">praktisk bruk av pedagogisk teori i undervisningsplanlegging</w:t>
      </w:r>
    </w:p>
    <w:p>
      <w:pPr>
        <w:numPr>
          <w:ilvl w:val="0"/>
          <w:numId w:val="1006"/>
        </w:numPr>
        <w:pStyle w:val="Compact"/>
      </w:pPr>
      <w:r>
        <w:t xml:space="preserve">studentaktive læringsformer</w:t>
      </w:r>
    </w:p>
    <w:p>
      <w:pPr>
        <w:numPr>
          <w:ilvl w:val="0"/>
          <w:numId w:val="1006"/>
        </w:numPr>
        <w:pStyle w:val="Compact"/>
      </w:pPr>
      <w:r>
        <w:t xml:space="preserve">bruk av digitale verktøy</w:t>
      </w:r>
    </w:p>
    <w:p>
      <w:pPr>
        <w:numPr>
          <w:ilvl w:val="0"/>
          <w:numId w:val="1006"/>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07"/>
        </w:numPr>
        <w:pStyle w:val="Compact"/>
      </w:pPr>
      <w:r>
        <w:t xml:space="preserve">kognitiv last teori (oktober 2019)</w:t>
      </w:r>
    </w:p>
    <w:p>
      <w:pPr>
        <w:numPr>
          <w:ilvl w:val="0"/>
          <w:numId w:val="1007"/>
        </w:numPr>
        <w:pStyle w:val="Compact"/>
      </w:pPr>
      <w:r>
        <w:t xml:space="preserve">bruk av Zoom for digital undervisning (mars 2020)</w:t>
      </w:r>
    </w:p>
    <w:p>
      <w:pPr>
        <w:numPr>
          <w:ilvl w:val="0"/>
          <w:numId w:val="1007"/>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64"/>
    <w:bookmarkStart w:id="69" w:name="Xeae4fa29872c7041bbe147f045d084171e133db"/>
    <w:p>
      <w:pPr>
        <w:pStyle w:val="Heading3"/>
      </w:pPr>
      <w:r>
        <w:t xml:space="preserve">Undervisning i et felleskap med gruppelærere og studenter</w:t>
      </w:r>
    </w:p>
    <w:p>
      <w:pPr>
        <w:numPr>
          <w:ilvl w:val="0"/>
          <w:numId w:val="1008"/>
        </w:numPr>
        <w:pStyle w:val="Compact"/>
      </w:pPr>
      <w:r>
        <w:t xml:space="preserve">studentrepresentanter - felles med BIOS1110</w:t>
      </w:r>
    </w:p>
    <w:bookmarkStart w:id="65" w:name="gruppelærere"/>
    <w:p>
      <w:pPr>
        <w:pStyle w:val="Heading4"/>
      </w:pPr>
      <w:r>
        <w:t xml:space="preserve">Gruppelærere</w:t>
      </w:r>
    </w:p>
    <w:p>
      <w:pPr>
        <w:numPr>
          <w:ilvl w:val="0"/>
          <w:numId w:val="1009"/>
        </w:numPr>
        <w:pStyle w:val="Compact"/>
      </w:pPr>
      <w:r>
        <w:t xml:space="preserve">pedagogisk opplæring</w:t>
      </w:r>
    </w:p>
    <w:p>
      <w:pPr>
        <w:numPr>
          <w:ilvl w:val="1"/>
          <w:numId w:val="1010"/>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1"/>
        </w:numPr>
        <w:pStyle w:val="Compact"/>
      </w:pPr>
      <w:r>
        <w:t xml:space="preserve">jeg skal hjelpe de til å bli gode undervisere</w:t>
      </w:r>
    </w:p>
    <w:p>
      <w:pPr>
        <w:numPr>
          <w:ilvl w:val="0"/>
          <w:numId w:val="1011"/>
        </w:numPr>
        <w:pStyle w:val="Compact"/>
      </w:pPr>
      <w:r>
        <w:t xml:space="preserve">de skal oppleve at de jobber i et kollegialt felleskap</w:t>
      </w:r>
    </w:p>
    <w:p>
      <w:pPr>
        <w:numPr>
          <w:ilvl w:val="0"/>
          <w:numId w:val="1011"/>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2"/>
        </w:numPr>
        <w:pStyle w:val="Compact"/>
      </w:pPr>
      <w:r>
        <w:t xml:space="preserve">introduksjon til rollen som gruppelærer</w:t>
      </w:r>
    </w:p>
    <w:p>
      <w:pPr>
        <w:numPr>
          <w:ilvl w:val="0"/>
          <w:numId w:val="1012"/>
        </w:numPr>
        <w:pStyle w:val="Compact"/>
      </w:pPr>
      <w:r>
        <w:t xml:space="preserve">lærinsgmål og baklengs undervisningsdesign</w:t>
      </w:r>
    </w:p>
    <w:p>
      <w:pPr>
        <w:numPr>
          <w:ilvl w:val="0"/>
          <w:numId w:val="1012"/>
        </w:numPr>
        <w:pStyle w:val="Compact"/>
      </w:pPr>
      <w:r>
        <w:t xml:space="preserve">motivasjon (student</w:t>
      </w:r>
      <w:r>
        <w:t xml:space="preserve"> </w:t>
      </w:r>
      <w:r>
        <w:rPr>
          <w:i/>
        </w:rPr>
        <w:t xml:space="preserve">og</w:t>
      </w:r>
      <w:r>
        <w:t xml:space="preserve"> </w:t>
      </w:r>
      <w:r>
        <w:t xml:space="preserve">underviser)</w:t>
      </w:r>
    </w:p>
    <w:p>
      <w:pPr>
        <w:numPr>
          <w:ilvl w:val="0"/>
          <w:numId w:val="1012"/>
        </w:numPr>
        <w:pStyle w:val="Compact"/>
      </w:pPr>
      <w:r>
        <w:t xml:space="preserve">kognitiv last - hvorfor er det viktig å ta hensyn til det</w:t>
      </w:r>
    </w:p>
    <w:p>
      <w:pPr>
        <w:numPr>
          <w:ilvl w:val="0"/>
          <w:numId w:val="1012"/>
        </w:numPr>
        <w:pStyle w:val="Compact"/>
      </w:pPr>
      <w:r>
        <w:t xml:space="preserve">noviser og eksperter</w:t>
      </w:r>
    </w:p>
    <w:p>
      <w:pPr>
        <w:numPr>
          <w:ilvl w:val="0"/>
          <w:numId w:val="1012"/>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65"/>
    <w:bookmarkStart w:id="66" w:name="evaluering"/>
    <w:p>
      <w:pPr>
        <w:pStyle w:val="Heading4"/>
      </w:pPr>
      <w:r>
        <w:t xml:space="preserve">Evaluering</w:t>
      </w:r>
    </w:p>
    <w:p>
      <w:pPr>
        <w:numPr>
          <w:ilvl w:val="0"/>
          <w:numId w:val="1013"/>
        </w:numPr>
        <w:pStyle w:val="Compact"/>
      </w:pPr>
      <w:r>
        <w:t xml:space="preserve">erfaringsdokument og bruken av det</w:t>
      </w:r>
    </w:p>
    <w:bookmarkEnd w:id="66"/>
    <w:bookmarkStart w:id="67" w:name="kursevaluering"/>
    <w:p>
      <w:pPr>
        <w:pStyle w:val="Heading4"/>
      </w:pPr>
      <w:r>
        <w:t xml:space="preserve">Kursevaluering</w:t>
      </w:r>
    </w:p>
    <w:bookmarkEnd w:id="67"/>
    <w:bookmarkStart w:id="68" w:name="X20b40acb384ae72e88140ea33862728da0a208a"/>
    <w:p>
      <w:pPr>
        <w:pStyle w:val="Heading4"/>
      </w:pPr>
      <w:r>
        <w:t xml:space="preserve">Studenter som bidragsyttere i det faglige innholdet</w:t>
      </w:r>
    </w:p>
    <w:p>
      <w:pPr>
        <w:pStyle w:val="FirstParagraph"/>
      </w:pPr>
      <w:r>
        <w:t xml:space="preserve">CSE sommerstudenter</w:t>
      </w:r>
    </w:p>
    <w:bookmarkEnd w:id="68"/>
    <w:bookmarkEnd w:id="69"/>
    <w:bookmarkEnd w:id="70"/>
    <w:bookmarkStart w:id="90" w:name="dokumentasjon-vedlegg"/>
    <w:p>
      <w:pPr>
        <w:pStyle w:val="Heading2"/>
      </w:pPr>
      <w:r>
        <w:t xml:space="preserve">Dokumentasjon (Vedlegg)</w:t>
      </w:r>
    </w:p>
    <w:p>
      <w:pPr>
        <w:pStyle w:val="FirstParagraph"/>
      </w:pPr>
      <w:r>
        <w:t xml:space="preserve">FIXME oversett til norsk</w:t>
      </w:r>
    </w:p>
    <w:p>
      <w:pPr>
        <w:numPr>
          <w:ilvl w:val="0"/>
          <w:numId w:val="1014"/>
        </w:numPr>
        <w:pStyle w:val="Compact"/>
      </w:pPr>
      <w:r>
        <w:t xml:space="preserve">ha med utviklingsnotat fellesdelen</w:t>
      </w:r>
    </w:p>
    <w:p>
      <w:pPr>
        <w:numPr>
          <w:ilvl w:val="0"/>
          <w:numId w:val="1014"/>
        </w:numPr>
        <w:pStyle w:val="Compact"/>
      </w:pPr>
      <w:r>
        <w:t xml:space="preserve">ha med ten quick tips?</w:t>
      </w:r>
    </w:p>
    <w:p>
      <w:pPr>
        <w:numPr>
          <w:ilvl w:val="0"/>
          <w:numId w:val="1014"/>
        </w:numPr>
        <w:pStyle w:val="Compact"/>
      </w:pPr>
      <w:r>
        <w:t xml:space="preserve">jupyter canvas projsekt</w:t>
      </w:r>
    </w:p>
    <w:p>
      <w:pPr>
        <w:numPr>
          <w:ilvl w:val="0"/>
          <w:numId w:val="1014"/>
        </w:numPr>
        <w:pStyle w:val="Compact"/>
      </w:pPr>
      <w:r>
        <w:t xml:space="preserve">‘</w:t>
      </w:r>
      <w:r>
        <w:t xml:space="preserve">emneplaner</w:t>
      </w:r>
      <w:r>
        <w:t xml:space="preserve">’</w:t>
      </w:r>
      <w:r>
        <w:t xml:space="preserve"> </w:t>
      </w:r>
      <w:r>
        <w:t xml:space="preserve">jeg har utviklet</w:t>
      </w:r>
    </w:p>
    <w:p>
      <w:pPr>
        <w:numPr>
          <w:ilvl w:val="0"/>
          <w:numId w:val="1014"/>
        </w:numPr>
        <w:pStyle w:val="Compact"/>
      </w:pPr>
      <w:r>
        <w:t xml:space="preserve">sluttraportene BIOS1100</w:t>
      </w:r>
    </w:p>
    <w:p>
      <w:pPr>
        <w:numPr>
          <w:ilvl w:val="0"/>
          <w:numId w:val="1014"/>
        </w:numPr>
        <w:pStyle w:val="Compact"/>
      </w:pPr>
      <w:r>
        <w:t xml:space="preserve">lenke til AMBP</w:t>
      </w:r>
    </w:p>
    <w:p>
      <w:pPr>
        <w:numPr>
          <w:ilvl w:val="0"/>
          <w:numId w:val="1014"/>
        </w:numPr>
        <w:pStyle w:val="Compact"/>
      </w:pPr>
      <w:r>
        <w:t xml:space="preserve">digitale læringsressurser?</w:t>
      </w:r>
    </w:p>
    <w:p>
      <w:pPr>
        <w:numPr>
          <w:ilvl w:val="0"/>
          <w:numId w:val="1014"/>
        </w:numPr>
        <w:pStyle w:val="Compact"/>
      </w:pPr>
      <w:r>
        <w:t xml:space="preserve">MNT 2019</w:t>
      </w:r>
    </w:p>
    <w:p>
      <w:pPr>
        <w:numPr>
          <w:ilvl w:val="0"/>
          <w:numId w:val="1014"/>
        </w:numPr>
        <w:pStyle w:val="Compact"/>
      </w:pPr>
      <w:r>
        <w:t xml:space="preserve">lenke til BIOS1100 canvas sidene for alle år</w:t>
      </w:r>
    </w:p>
    <w:p>
      <w:pPr>
        <w:numPr>
          <w:ilvl w:val="0"/>
          <w:numId w:val="1014"/>
        </w:numPr>
        <w:pStyle w:val="Compact"/>
      </w:pPr>
      <w:r>
        <w:t xml:space="preserve">mine blog posts?</w:t>
      </w:r>
    </w:p>
    <w:p>
      <w:pPr>
        <w:numPr>
          <w:ilvl w:val="0"/>
          <w:numId w:val="1014"/>
        </w:numPr>
        <w:pStyle w:val="Compact"/>
      </w:pPr>
      <w:r>
        <w:t xml:space="preserve">github.uio.no sider for gruppelræere</w:t>
      </w:r>
    </w:p>
    <w:bookmarkStart w:id="81" w:name="universitetsundervisning"/>
    <w:p>
      <w:pPr>
        <w:pStyle w:val="Heading3"/>
      </w:pPr>
      <w:r>
        <w:t xml:space="preserve">Universitetsundervisning</w:t>
      </w:r>
    </w:p>
    <w:p>
      <w:pPr>
        <w:numPr>
          <w:ilvl w:val="0"/>
          <w:numId w:val="1015"/>
        </w:numPr>
        <w:pStyle w:val="Compact"/>
      </w:pPr>
      <w:r>
        <w:t xml:space="preserve">flytt til utvikling,do.txt</w:t>
      </w:r>
    </w:p>
    <w:bookmarkStart w:id="74" w:name="emneansvar"/>
    <w:p>
      <w:pPr>
        <w:pStyle w:val="Heading4"/>
      </w:pPr>
      <w:r>
        <w:t xml:space="preserve">Emneansvar</w:t>
      </w:r>
    </w:p>
    <w:p>
      <w:pPr>
        <w:pStyle w:val="FirstParagraph"/>
      </w:pPr>
      <w:r>
        <w:t xml:space="preserve">BIOS1100 - Introduction to Computational Modelling in the Biosciences:</w:t>
      </w:r>
      <w:r>
        <w:t xml:space="preserve"> </w:t>
      </w:r>
      <w:hyperlink r:id="rId71">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72">
        <w:r>
          <w:rPr>
            <w:rStyle w:val="Hyperlink"/>
          </w:rPr>
          <w:t xml:space="preserve">http://inf-biox121.readthedocs.org/en/2015/</w:t>
        </w:r>
      </w:hyperlink>
      <w:r>
        <w:t xml:space="preserve">; I organise the course, coordinating with the five other teachers, and teach the assembly module:</w:t>
      </w:r>
      <w:r>
        <w:t xml:space="preserve"> </w:t>
      </w:r>
      <w:hyperlink r:id="rId73">
        <w:r>
          <w:rPr>
            <w:rStyle w:val="Hyperlink"/>
          </w:rPr>
          <w:t xml:space="preserve">http://inf-biox121.readthedocs.org/en/2016/Assembly/</w:t>
        </w:r>
      </w:hyperlink>
      <w:r>
        <w:t xml:space="preserve">, 2012-2016</w:t>
      </w:r>
    </w:p>
    <w:bookmarkEnd w:id="74"/>
    <w:bookmarkStart w:id="75"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and</w:t>
      </w:r>
      <w:r>
        <w:t xml:space="preserve"> </w:t>
      </w:r>
      <w:r>
        <w:t xml:space="preserve">“</w:t>
      </w:r>
      <w:r>
        <w:t xml:space="preserve">What does it mean to do bioinformatics?</w:t>
      </w:r>
      <w:r>
        <w:t xml:space="preserve">”</w:t>
      </w:r>
      <w:r>
        <w:t xml:space="preserve">, 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2000</w:t>
      </w:r>
    </w:p>
    <w:bookmarkEnd w:id="75"/>
    <w:bookmarkStart w:id="80"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76">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77">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78">
        <w:r>
          <w:rPr>
            <w:rStyle w:val="Hyperlink"/>
          </w:rPr>
          <w:t xml:space="preserve">http://angus.readthedocs.org/en/2015/week3.html</w:t>
        </w:r>
      </w:hyperlink>
      <w:r>
        <w:t xml:space="preserve"> </w:t>
      </w:r>
      <w:r>
        <w:t xml:space="preserve">Univ. California Davis Assembly Masterclass (invited) 2013</w:t>
      </w:r>
      <w:r>
        <w:t xml:space="preserve"> </w:t>
      </w:r>
      <w:hyperlink r:id="rId79">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0"/>
    <w:bookmarkEnd w:id="81"/>
    <w:bookmarkStart w:id="88" w:name="software-og-data-carpentry"/>
    <w:p>
      <w:pPr>
        <w:pStyle w:val="Heading3"/>
      </w:pPr>
      <w:r>
        <w:t xml:space="preserve">Software og Data Carpentry</w:t>
      </w:r>
    </w:p>
    <w:p>
      <w:pPr>
        <w:pStyle w:val="FirstParagraph"/>
      </w:pPr>
      <w:hyperlink r:id="rId82">
        <w:r>
          <w:rPr>
            <w:rStyle w:val="Hyperlink"/>
          </w:rPr>
          <w:t xml:space="preserve">Software Carpentry</w:t>
        </w:r>
      </w:hyperlink>
      <w:r>
        <w:t xml:space="preserve"> </w:t>
      </w:r>
      <w:r>
        <w:t xml:space="preserve">and</w:t>
      </w:r>
      <w:r>
        <w:t xml:space="preserve"> </w:t>
      </w:r>
      <w:hyperlink r:id="rId83">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84">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85"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85"/>
    <w:bookmarkStart w:id="87"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86">
        <w:r>
          <w:rPr>
            <w:rStyle w:val="Hyperlink"/>
          </w:rPr>
          <w:t xml:space="preserve">https://www.youtube.com/watch?v=QptHJgzooU0</w:t>
        </w:r>
      </w:hyperlink>
      <w:r>
        <w:t xml:space="preserve">.</w:t>
      </w:r>
    </w:p>
    <w:bookmarkEnd w:id="87"/>
    <w:bookmarkEnd w:id="88"/>
    <w:bookmarkStart w:id="89" w:name="liste-over-vedlegg"/>
    <w:p>
      <w:pPr>
        <w:pStyle w:val="Heading3"/>
      </w:pPr>
      <w:r>
        <w:t xml:space="preserve">Liste over vedlegg</w:t>
      </w:r>
    </w:p>
    <w:p>
      <w:pPr>
        <w:numPr>
          <w:ilvl w:val="0"/>
          <w:numId w:val="1016"/>
        </w:numPr>
        <w:pStyle w:val="Compact"/>
      </w:pPr>
      <w:r>
        <w:t xml:space="preserve">SWC, DC certificates</w:t>
      </w:r>
    </w:p>
    <w:bookmarkEnd w:id="89"/>
    <w:bookmarkEnd w:id="90"/>
    <w:bookmarkStart w:id="93" w:name="litteraturliste"/>
    <w:p>
      <w:pPr>
        <w:pStyle w:val="Heading2"/>
      </w:pPr>
      <w:r>
        <w:t xml:space="preserve">Litteraturliste</w:t>
      </w:r>
    </w:p>
    <w:bookmarkStart w:id="91" w:name="millerMagicalNumberSeven1956"/>
    <w:bookmarkEnd w:id="91"/>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92">
        <w:r>
          <w:rPr>
            <w:rStyle w:val="Hyperlink"/>
          </w:rPr>
          <w:t xml:space="preserve">doi: 10.1037/h0043158</w:t>
        </w:r>
      </w:hyperlink>
      <w:r>
        <w:t xml:space="preserve">,</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hyperlink r:id="rId62">
        <w:r>
          <w:rPr>
            <w:rStyle w:val="Hyperlink"/>
          </w:rPr>
          <w:t xml:space="preserve">https://www.uio.no/for-ansatte/enhetssider/mn/ibv/underverk/</w:t>
        </w:r>
      </w:hyperlink>
      <w:r>
        <w:t xml:space="preserve">,</w:t>
      </w:r>
      <w:r>
        <w:t xml:space="preserve"> </w:t>
      </w:r>
      <w:r>
        <w:t xml:space="preserve">se også</w:t>
      </w:r>
      <w:r>
        <w:t xml:space="preserve"> </w:t>
      </w:r>
      <w:hyperlink r:id="rId63">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angus.readthedocs.org/en/2015/week3.html" TargetMode="External" /><Relationship Type="http://schemas.openxmlformats.org/officeDocument/2006/relationships/hyperlink" Id="rId79" Target="http://davis-assembly-masterclass-2013.readthedocs.org/en/latest/" TargetMode="External" /><Relationship Type="http://schemas.openxmlformats.org/officeDocument/2006/relationships/hyperlink" Id="rId72" Target="http://inf-biox121.readthedocs.org/en/2015/" TargetMode="External" /><Relationship Type="http://schemas.openxmlformats.org/officeDocument/2006/relationships/hyperlink" Id="rId73" Target="http://inf-biox121.readthedocs.org/en/2016/Assembly/" TargetMode="External" /><Relationship Type="http://schemas.openxmlformats.org/officeDocument/2006/relationships/hyperlink" Id="rId82" Target="http://software-carpentry.org/" TargetMode="External" /><Relationship Type="http://schemas.openxmlformats.org/officeDocument/2006/relationships/hyperlink" Id="rId84" Target="http://uio.no/carpentry" TargetMode="External" /><Relationship Type="http://schemas.openxmlformats.org/officeDocument/2006/relationships/hyperlink" Id="rId83" Target="http://www.datacarpentry.org/" TargetMode="External" /><Relationship Type="http://schemas.openxmlformats.org/officeDocument/2006/relationships/hyperlink" Id="rId71" Target="http://www.uio.no/studier/emner/matnat/ibv/BIOS1100" TargetMode="External" /><Relationship Type="http://schemas.openxmlformats.org/officeDocument/2006/relationships/hyperlink" Id="rId34" Target="https://carpentries.org" TargetMode="External" /><Relationship Type="http://schemas.openxmlformats.org/officeDocument/2006/relationships/hyperlink" Id="rId92" Target="https://dx.doi.org/10.1037/h0043158" TargetMode="External" /><Relationship Type="http://schemas.openxmlformats.org/officeDocument/2006/relationships/hyperlink" Id="rId77" Target="https://github.com/lexnederbragt/denovo-assembly-tutorial/" TargetMode="External" /><Relationship Type="http://schemas.openxmlformats.org/officeDocument/2006/relationships/hyperlink" Id="rId54" Target="https://jupyter.org" TargetMode="External" /><Relationship Type="http://schemas.openxmlformats.org/officeDocument/2006/relationships/hyperlink" Id="rId45" Target="https://mentimeter.com" TargetMode="External" /><Relationship Type="http://schemas.openxmlformats.org/officeDocument/2006/relationships/hyperlink" Id="rId63" Target="https://www.mn.uio.no/kurt/undervisningsutvikling/underverk/" TargetMode="External" /><Relationship Type="http://schemas.openxmlformats.org/officeDocument/2006/relationships/hyperlink" Id="rId76" Target="https://www.sequencing.uio.no/events/2011/nsc_course_2011.html" TargetMode="External" /><Relationship Type="http://schemas.openxmlformats.org/officeDocument/2006/relationships/hyperlink" Id="rId62" Target="https://www.uio.no/for-ansatte/enhetssider/mn/ibv/underverk/" TargetMode="External" /><Relationship Type="http://schemas.openxmlformats.org/officeDocument/2006/relationships/hyperlink" Id="rId51" Target="https://www.uio.no/studier/emner/matnat/ibv/BIOS1100/" TargetMode="External" /><Relationship Type="http://schemas.openxmlformats.org/officeDocument/2006/relationships/hyperlink" Id="rId52" Target="https://www.uio.no/studier/emner/matnat/ibv/BIOS1100/index-eng.html" TargetMode="External" /><Relationship Type="http://schemas.openxmlformats.org/officeDocument/2006/relationships/hyperlink" Id="rId86" Target="https://www.youtube.com/watch?v=QptHJgzooU0" TargetMode="External" /><Relationship Type="http://schemas.openxmlformats.org/officeDocument/2006/relationships/hyperlink" Id="rId36" Target="https://www.zotero.org/google-docs/?1KrEqk" TargetMode="External" /><Relationship Type="http://schemas.openxmlformats.org/officeDocument/2006/relationships/hyperlink" Id="rId38" Target="https://www.zotero.org/google-docs/?Etqt1z" TargetMode="External" /><Relationship Type="http://schemas.openxmlformats.org/officeDocument/2006/relationships/hyperlink" Id="rId32" Target="https://www.zotero.org/google-docs/?NDSa2v" TargetMode="External" /><Relationship Type="http://schemas.openxmlformats.org/officeDocument/2006/relationships/hyperlink" Id="rId30" Target="https://www.zotero.org/google-docs/?OjF63O" TargetMode="External" /><Relationship Type="http://schemas.openxmlformats.org/officeDocument/2006/relationships/hyperlink" Id="rId28" Target="https://www.zotero.org/google-docs/?VMxIhb" TargetMode="External" /><Relationship Type="http://schemas.openxmlformats.org/officeDocument/2006/relationships/hyperlink" Id="rId27" Target="https://www.zotero.org/google-docs/?XtsuNg" TargetMode="External" /><Relationship Type="http://schemas.openxmlformats.org/officeDocument/2006/relationships/hyperlink" Id="rId49" Target="https://www.zotero.org/google-docs/?cBFxN3" TargetMode="External" /><Relationship Type="http://schemas.openxmlformats.org/officeDocument/2006/relationships/hyperlink" Id="rId31" Target="https://www.zotero.org/google-docs/?dw50Jz" TargetMode="External" /><Relationship Type="http://schemas.openxmlformats.org/officeDocument/2006/relationships/hyperlink" Id="rId48" Target="https://www.zotero.org/google-docs/?jWdTHb" TargetMode="External" /><Relationship Type="http://schemas.openxmlformats.org/officeDocument/2006/relationships/hyperlink" Id="rId35" Target="https://www.zotero.org/google-docs/?qilqqq" TargetMode="External" /><Relationship Type="http://schemas.openxmlformats.org/officeDocument/2006/relationships/hyperlink" Id="rId37" Target="https://www.zotero.org/google-docs/?sHmFMo" TargetMode="External" /><Relationship Type="http://schemas.openxmlformats.org/officeDocument/2006/relationships/hyperlink" Id="rId42" Target="https://www.zotero.org/google-docs/?vC9WNx" TargetMode="External" /><Relationship Type="http://schemas.openxmlformats.org/officeDocument/2006/relationships/hyperlink" Id="rId41"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78" Target="http://angus.readthedocs.org/en/2015/week3.html" TargetMode="External" /><Relationship Type="http://schemas.openxmlformats.org/officeDocument/2006/relationships/hyperlink" Id="rId79" Target="http://davis-assembly-masterclass-2013.readthedocs.org/en/latest/" TargetMode="External" /><Relationship Type="http://schemas.openxmlformats.org/officeDocument/2006/relationships/hyperlink" Id="rId72" Target="http://inf-biox121.readthedocs.org/en/2015/" TargetMode="External" /><Relationship Type="http://schemas.openxmlformats.org/officeDocument/2006/relationships/hyperlink" Id="rId73" Target="http://inf-biox121.readthedocs.org/en/2016/Assembly/" TargetMode="External" /><Relationship Type="http://schemas.openxmlformats.org/officeDocument/2006/relationships/hyperlink" Id="rId82" Target="http://software-carpentry.org/" TargetMode="External" /><Relationship Type="http://schemas.openxmlformats.org/officeDocument/2006/relationships/hyperlink" Id="rId84" Target="http://uio.no/carpentry" TargetMode="External" /><Relationship Type="http://schemas.openxmlformats.org/officeDocument/2006/relationships/hyperlink" Id="rId83" Target="http://www.datacarpentry.org/" TargetMode="External" /><Relationship Type="http://schemas.openxmlformats.org/officeDocument/2006/relationships/hyperlink" Id="rId71" Target="http://www.uio.no/studier/emner/matnat/ibv/BIOS1100" TargetMode="External" /><Relationship Type="http://schemas.openxmlformats.org/officeDocument/2006/relationships/hyperlink" Id="rId34" Target="https://carpentries.org" TargetMode="External" /><Relationship Type="http://schemas.openxmlformats.org/officeDocument/2006/relationships/hyperlink" Id="rId92" Target="https://dx.doi.org/10.1037/h0043158" TargetMode="External" /><Relationship Type="http://schemas.openxmlformats.org/officeDocument/2006/relationships/hyperlink" Id="rId77" Target="https://github.com/lexnederbragt/denovo-assembly-tutorial/" TargetMode="External" /><Relationship Type="http://schemas.openxmlformats.org/officeDocument/2006/relationships/hyperlink" Id="rId54" Target="https://jupyter.org" TargetMode="External" /><Relationship Type="http://schemas.openxmlformats.org/officeDocument/2006/relationships/hyperlink" Id="rId45" Target="https://mentimeter.com" TargetMode="External" /><Relationship Type="http://schemas.openxmlformats.org/officeDocument/2006/relationships/hyperlink" Id="rId63" Target="https://www.mn.uio.no/kurt/undervisningsutvikling/underverk/" TargetMode="External" /><Relationship Type="http://schemas.openxmlformats.org/officeDocument/2006/relationships/hyperlink" Id="rId76" Target="https://www.sequencing.uio.no/events/2011/nsc_course_2011.html" TargetMode="External" /><Relationship Type="http://schemas.openxmlformats.org/officeDocument/2006/relationships/hyperlink" Id="rId62" Target="https://www.uio.no/for-ansatte/enhetssider/mn/ibv/underverk/" TargetMode="External" /><Relationship Type="http://schemas.openxmlformats.org/officeDocument/2006/relationships/hyperlink" Id="rId51" Target="https://www.uio.no/studier/emner/matnat/ibv/BIOS1100/" TargetMode="External" /><Relationship Type="http://schemas.openxmlformats.org/officeDocument/2006/relationships/hyperlink" Id="rId52" Target="https://www.uio.no/studier/emner/matnat/ibv/BIOS1100/index-eng.html" TargetMode="External" /><Relationship Type="http://schemas.openxmlformats.org/officeDocument/2006/relationships/hyperlink" Id="rId86" Target="https://www.youtube.com/watch?v=QptHJgzooU0" TargetMode="External" /><Relationship Type="http://schemas.openxmlformats.org/officeDocument/2006/relationships/hyperlink" Id="rId36" Target="https://www.zotero.org/google-docs/?1KrEqk" TargetMode="External" /><Relationship Type="http://schemas.openxmlformats.org/officeDocument/2006/relationships/hyperlink" Id="rId38" Target="https://www.zotero.org/google-docs/?Etqt1z" TargetMode="External" /><Relationship Type="http://schemas.openxmlformats.org/officeDocument/2006/relationships/hyperlink" Id="rId32" Target="https://www.zotero.org/google-docs/?NDSa2v" TargetMode="External" /><Relationship Type="http://schemas.openxmlformats.org/officeDocument/2006/relationships/hyperlink" Id="rId30" Target="https://www.zotero.org/google-docs/?OjF63O" TargetMode="External" /><Relationship Type="http://schemas.openxmlformats.org/officeDocument/2006/relationships/hyperlink" Id="rId28" Target="https://www.zotero.org/google-docs/?VMxIhb" TargetMode="External" /><Relationship Type="http://schemas.openxmlformats.org/officeDocument/2006/relationships/hyperlink" Id="rId27" Target="https://www.zotero.org/google-docs/?XtsuNg" TargetMode="External" /><Relationship Type="http://schemas.openxmlformats.org/officeDocument/2006/relationships/hyperlink" Id="rId49" Target="https://www.zotero.org/google-docs/?cBFxN3" TargetMode="External" /><Relationship Type="http://schemas.openxmlformats.org/officeDocument/2006/relationships/hyperlink" Id="rId31" Target="https://www.zotero.org/google-docs/?dw50Jz" TargetMode="External" /><Relationship Type="http://schemas.openxmlformats.org/officeDocument/2006/relationships/hyperlink" Id="rId48" Target="https://www.zotero.org/google-docs/?jWdTHb" TargetMode="External" /><Relationship Type="http://schemas.openxmlformats.org/officeDocument/2006/relationships/hyperlink" Id="rId35" Target="https://www.zotero.org/google-docs/?qilqqq" TargetMode="External" /><Relationship Type="http://schemas.openxmlformats.org/officeDocument/2006/relationships/hyperlink" Id="rId37" Target="https://www.zotero.org/google-docs/?sHmFMo" TargetMode="External" /><Relationship Type="http://schemas.openxmlformats.org/officeDocument/2006/relationships/hyperlink" Id="rId42" Target="https://www.zotero.org/google-docs/?vC9WNx" TargetMode="External" /><Relationship Type="http://schemas.openxmlformats.org/officeDocument/2006/relationships/hyperlink" Id="rId41"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2021-02-12T08:43:40Z</dcterms:created>
  <dcterms:modified xsi:type="dcterms:W3CDTF">2021-02-12T08:43:40Z</dcterms:modified>
</cp:coreProperties>
</file>

<file path=docProps/custom.xml><?xml version="1.0" encoding="utf-8"?>
<Properties xmlns="http://schemas.openxmlformats.org/officeDocument/2006/custom-properties" xmlns:vt="http://schemas.openxmlformats.org/officeDocument/2006/docPropsVTypes"/>
</file>