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17"/>
        <w:ind w:left="2333"/>
      </w:pPr>
      <w:r>
        <w:rPr/>
        <w:drawing>
          <wp:anchor distT="0" distB="0" distL="0" distR="0" allowOverlap="1" layoutInCell="1" locked="0" behindDoc="0" simplePos="0" relativeHeight="15728640">
            <wp:simplePos x="0" y="0"/>
            <wp:positionH relativeFrom="page">
              <wp:posOffset>733044</wp:posOffset>
            </wp:positionH>
            <wp:positionV relativeFrom="paragraph">
              <wp:posOffset>35051</wp:posOffset>
            </wp:positionV>
            <wp:extent cx="1182624" cy="1673352"/>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1182624" cy="1673352"/>
                    </a:xfrm>
                    <a:prstGeom prst="rect">
                      <a:avLst/>
                    </a:prstGeom>
                  </pic:spPr>
                </pic:pic>
              </a:graphicData>
            </a:graphic>
          </wp:anchor>
        </w:drawing>
      </w:r>
      <w:r>
        <w:rPr>
          <w:color w:val="0C707A"/>
        </w:rPr>
        <w:t>LAW-MAKING</w:t>
      </w:r>
      <w:r>
        <w:rPr>
          <w:color w:val="0C707A"/>
          <w:spacing w:val="-8"/>
        </w:rPr>
        <w:t> </w:t>
      </w:r>
      <w:r>
        <w:rPr>
          <w:color w:val="0C707A"/>
        </w:rPr>
        <w:t>ACTIVITY:</w:t>
      </w:r>
      <w:r>
        <w:rPr>
          <w:color w:val="0C707A"/>
          <w:spacing w:val="-6"/>
        </w:rPr>
        <w:t> </w:t>
      </w:r>
      <w:r>
        <w:rPr>
          <w:color w:val="0C707A"/>
        </w:rPr>
        <w:t>THEORETICAL</w:t>
      </w:r>
      <w:r>
        <w:rPr>
          <w:color w:val="0C707A"/>
          <w:spacing w:val="-10"/>
        </w:rPr>
        <w:t> </w:t>
      </w:r>
      <w:r>
        <w:rPr>
          <w:color w:val="0C707A"/>
        </w:rPr>
        <w:t>AND</w:t>
      </w:r>
      <w:r>
        <w:rPr>
          <w:color w:val="0C707A"/>
          <w:spacing w:val="-9"/>
        </w:rPr>
        <w:t> </w:t>
      </w:r>
      <w:r>
        <w:rPr>
          <w:color w:val="0C707A"/>
        </w:rPr>
        <w:t>LEGAL </w:t>
      </w:r>
      <w:r>
        <w:rPr>
          <w:color w:val="0C707A"/>
          <w:spacing w:val="-2"/>
        </w:rPr>
        <w:t>ANALYSIS</w:t>
      </w:r>
    </w:p>
    <w:p>
      <w:pPr>
        <w:pStyle w:val="Heading2"/>
        <w:spacing w:line="281" w:lineRule="exact" w:before="3"/>
        <w:ind w:left="2328" w:right="63"/>
      </w:pPr>
      <w:r>
        <w:rPr>
          <w:color w:val="001F5F"/>
        </w:rPr>
        <w:t>Saparbay</w:t>
      </w:r>
      <w:r>
        <w:rPr>
          <w:color w:val="001F5F"/>
          <w:spacing w:val="-8"/>
        </w:rPr>
        <w:t> </w:t>
      </w:r>
      <w:r>
        <w:rPr>
          <w:color w:val="001F5F"/>
        </w:rPr>
        <w:t>Dauletbayevich</w:t>
      </w:r>
      <w:r>
        <w:rPr>
          <w:color w:val="001F5F"/>
          <w:spacing w:val="-7"/>
        </w:rPr>
        <w:t> </w:t>
      </w:r>
      <w:r>
        <w:rPr>
          <w:color w:val="001F5F"/>
          <w:spacing w:val="-2"/>
        </w:rPr>
        <w:t>Allambergenov</w:t>
      </w:r>
    </w:p>
    <w:p>
      <w:pPr>
        <w:pStyle w:val="BodyText"/>
        <w:ind w:left="2680" w:right="413" w:hanging="1"/>
        <w:jc w:val="center"/>
      </w:pPr>
      <w:r>
        <w:rPr>
          <w:color w:val="0C707A"/>
        </w:rPr>
        <w:t>Associate Professor at the Institute for Advanced Training of the Ministry</w:t>
      </w:r>
      <w:r>
        <w:rPr>
          <w:color w:val="0C707A"/>
          <w:spacing w:val="-4"/>
        </w:rPr>
        <w:t> </w:t>
      </w:r>
      <w:r>
        <w:rPr>
          <w:color w:val="0C707A"/>
        </w:rPr>
        <w:t>of</w:t>
      </w:r>
      <w:r>
        <w:rPr>
          <w:color w:val="0C707A"/>
          <w:spacing w:val="-4"/>
        </w:rPr>
        <w:t> </w:t>
      </w:r>
      <w:r>
        <w:rPr>
          <w:color w:val="0C707A"/>
        </w:rPr>
        <w:t>Internal</w:t>
      </w:r>
      <w:r>
        <w:rPr>
          <w:color w:val="0C707A"/>
          <w:spacing w:val="-2"/>
        </w:rPr>
        <w:t> </w:t>
      </w:r>
      <w:r>
        <w:rPr>
          <w:color w:val="0C707A"/>
        </w:rPr>
        <w:t>Affairs</w:t>
      </w:r>
      <w:r>
        <w:rPr>
          <w:color w:val="0C707A"/>
          <w:spacing w:val="-3"/>
        </w:rPr>
        <w:t> </w:t>
      </w:r>
      <w:r>
        <w:rPr>
          <w:color w:val="0C707A"/>
        </w:rPr>
        <w:t>of</w:t>
      </w:r>
      <w:r>
        <w:rPr>
          <w:color w:val="0C707A"/>
          <w:spacing w:val="-4"/>
        </w:rPr>
        <w:t> </w:t>
      </w:r>
      <w:r>
        <w:rPr>
          <w:color w:val="0C707A"/>
        </w:rPr>
        <w:t>the</w:t>
      </w:r>
      <w:r>
        <w:rPr>
          <w:color w:val="0C707A"/>
          <w:spacing w:val="-3"/>
        </w:rPr>
        <w:t> </w:t>
      </w:r>
      <w:r>
        <w:rPr>
          <w:color w:val="0C707A"/>
        </w:rPr>
        <w:t>Republic</w:t>
      </w:r>
      <w:r>
        <w:rPr>
          <w:color w:val="0C707A"/>
          <w:spacing w:val="-4"/>
        </w:rPr>
        <w:t> </w:t>
      </w:r>
      <w:r>
        <w:rPr>
          <w:color w:val="0C707A"/>
        </w:rPr>
        <w:t>of</w:t>
      </w:r>
      <w:r>
        <w:rPr>
          <w:color w:val="0C707A"/>
          <w:spacing w:val="-4"/>
        </w:rPr>
        <w:t> </w:t>
      </w:r>
      <w:r>
        <w:rPr>
          <w:color w:val="0C707A"/>
        </w:rPr>
        <w:t>Uzbekistan,</w:t>
      </w:r>
      <w:r>
        <w:rPr>
          <w:color w:val="0C707A"/>
          <w:spacing w:val="-2"/>
        </w:rPr>
        <w:t> </w:t>
      </w:r>
      <w:r>
        <w:rPr>
          <w:color w:val="0C707A"/>
        </w:rPr>
        <w:t>Doctor</w:t>
      </w:r>
      <w:r>
        <w:rPr>
          <w:color w:val="0C707A"/>
          <w:spacing w:val="-4"/>
        </w:rPr>
        <w:t> </w:t>
      </w:r>
      <w:r>
        <w:rPr>
          <w:color w:val="0C707A"/>
        </w:rPr>
        <w:t>of Philosophy (PhD) in Legal Sciences </w:t>
      </w:r>
      <w:hyperlink r:id="rId8">
        <w:r>
          <w:rPr>
            <w:color w:val="0C707A"/>
            <w:spacing w:val="-2"/>
          </w:rPr>
          <w:t>https://doi.org/10.5281/zenodo.15049479</w:t>
        </w:r>
      </w:hyperlink>
    </w:p>
    <w:p>
      <w:pPr>
        <w:pStyle w:val="BodyText"/>
        <w:ind w:left="0" w:firstLine="0"/>
        <w:jc w:val="left"/>
        <w:rPr>
          <w:sz w:val="20"/>
        </w:rPr>
      </w:pPr>
    </w:p>
    <w:p>
      <w:pPr>
        <w:pStyle w:val="BodyText"/>
        <w:ind w:left="0" w:firstLine="0"/>
        <w:jc w:val="left"/>
        <w:rPr>
          <w:sz w:val="20"/>
        </w:rPr>
      </w:pPr>
    </w:p>
    <w:p>
      <w:pPr>
        <w:pStyle w:val="BodyText"/>
        <w:spacing w:before="140" w:after="1"/>
        <w:ind w:left="0" w:firstLine="0"/>
        <w:jc w:val="left"/>
        <w:rPr>
          <w:sz w:val="20"/>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3"/>
        <w:gridCol w:w="6412"/>
      </w:tblGrid>
      <w:tr>
        <w:trPr>
          <w:trHeight w:val="281" w:hRule="atLeast"/>
        </w:trPr>
        <w:tc>
          <w:tcPr>
            <w:tcW w:w="3313" w:type="dxa"/>
          </w:tcPr>
          <w:p>
            <w:pPr>
              <w:pStyle w:val="TableParagraph"/>
              <w:tabs>
                <w:tab w:pos="703" w:val="left" w:leader="none"/>
                <w:tab w:pos="3026" w:val="left" w:leader="none"/>
              </w:tabs>
              <w:spacing w:line="260" w:lineRule="exact" w:before="1"/>
              <w:ind w:left="-58"/>
              <w:rPr>
                <w:b/>
                <w:sz w:val="24"/>
              </w:rPr>
            </w:pPr>
            <w:r>
              <w:rPr>
                <w:b/>
                <w:color w:val="09707A"/>
                <w:sz w:val="24"/>
                <w:u w:val="thick" w:color="000000"/>
              </w:rPr>
              <w:tab/>
              <w:t>ARTICLE</w:t>
            </w:r>
            <w:r>
              <w:rPr>
                <w:b/>
                <w:color w:val="09707A"/>
                <w:spacing w:val="-2"/>
                <w:sz w:val="24"/>
                <w:u w:val="thick" w:color="000000"/>
              </w:rPr>
              <w:t> </w:t>
            </w:r>
            <w:r>
              <w:rPr>
                <w:b/>
                <w:color w:val="09707A"/>
                <w:spacing w:val="-4"/>
                <w:sz w:val="24"/>
                <w:u w:val="thick" w:color="000000"/>
              </w:rPr>
              <w:t>INFO</w:t>
            </w:r>
            <w:r>
              <w:rPr>
                <w:b/>
                <w:color w:val="09707A"/>
                <w:sz w:val="24"/>
                <w:u w:val="thick" w:color="000000"/>
              </w:rPr>
              <w:tab/>
            </w:r>
          </w:p>
        </w:tc>
        <w:tc>
          <w:tcPr>
            <w:tcW w:w="6412" w:type="dxa"/>
            <w:tcBorders>
              <w:bottom w:val="single" w:sz="12" w:space="0" w:color="000000"/>
            </w:tcBorders>
          </w:tcPr>
          <w:p>
            <w:pPr>
              <w:pStyle w:val="TableParagraph"/>
              <w:ind w:left="0"/>
              <w:jc w:val="center"/>
              <w:rPr>
                <w:b/>
                <w:sz w:val="22"/>
              </w:rPr>
            </w:pPr>
            <w:r>
              <w:rPr>
                <w:b/>
                <w:color w:val="09707A"/>
                <w:spacing w:val="-2"/>
                <w:sz w:val="22"/>
              </w:rPr>
              <w:t>ABSTRACT</w:t>
            </w:r>
          </w:p>
        </w:tc>
      </w:tr>
      <w:tr>
        <w:trPr>
          <w:trHeight w:val="851" w:hRule="atLeast"/>
        </w:trPr>
        <w:tc>
          <w:tcPr>
            <w:tcW w:w="3313" w:type="dxa"/>
          </w:tcPr>
          <w:p>
            <w:pPr>
              <w:pStyle w:val="TableParagraph"/>
              <w:spacing w:before="1"/>
              <w:rPr>
                <w:sz w:val="24"/>
              </w:rPr>
            </w:pPr>
            <w:r>
              <w:rPr>
                <w:sz w:val="24"/>
              </w:rPr>
              <w:t>Received:</w:t>
            </w:r>
            <w:r>
              <w:rPr>
                <w:spacing w:val="-9"/>
                <w:sz w:val="24"/>
              </w:rPr>
              <w:t> </w:t>
            </w:r>
            <w:r>
              <w:rPr>
                <w:sz w:val="24"/>
              </w:rPr>
              <w:t>14</w:t>
            </w:r>
            <w:r>
              <w:rPr>
                <w:position w:val="6"/>
                <w:sz w:val="16"/>
              </w:rPr>
              <w:t>th</w:t>
            </w:r>
            <w:r>
              <w:rPr>
                <w:spacing w:val="-5"/>
                <w:position w:val="6"/>
                <w:sz w:val="16"/>
              </w:rPr>
              <w:t> </w:t>
            </w:r>
            <w:r>
              <w:rPr>
                <w:sz w:val="24"/>
              </w:rPr>
              <w:t>March</w:t>
            </w:r>
            <w:r>
              <w:rPr>
                <w:spacing w:val="-9"/>
                <w:sz w:val="24"/>
              </w:rPr>
              <w:t> </w:t>
            </w:r>
            <w:r>
              <w:rPr>
                <w:sz w:val="24"/>
              </w:rPr>
              <w:t>2025 Accepted:</w:t>
            </w:r>
            <w:r>
              <w:rPr>
                <w:spacing w:val="-4"/>
                <w:sz w:val="24"/>
              </w:rPr>
              <w:t> </w:t>
            </w:r>
            <w:r>
              <w:rPr>
                <w:sz w:val="24"/>
              </w:rPr>
              <w:t>18</w:t>
            </w:r>
            <w:r>
              <w:rPr>
                <w:position w:val="6"/>
                <w:sz w:val="16"/>
              </w:rPr>
              <w:t>th</w:t>
            </w:r>
            <w:r>
              <w:rPr>
                <w:spacing w:val="-1"/>
                <w:position w:val="6"/>
                <w:sz w:val="16"/>
              </w:rPr>
              <w:t> </w:t>
            </w:r>
            <w:r>
              <w:rPr>
                <w:sz w:val="24"/>
              </w:rPr>
              <w:t>March</w:t>
            </w:r>
            <w:r>
              <w:rPr>
                <w:spacing w:val="-4"/>
                <w:sz w:val="24"/>
              </w:rPr>
              <w:t> 2025</w:t>
            </w:r>
          </w:p>
          <w:p>
            <w:pPr>
              <w:pStyle w:val="TableParagraph"/>
              <w:spacing w:line="267" w:lineRule="exact"/>
              <w:rPr>
                <w:sz w:val="24"/>
              </w:rPr>
            </w:pPr>
            <w:r>
              <w:rPr>
                <w:sz w:val="24"/>
              </w:rPr>
              <w:t>Online:</w:t>
            </w:r>
            <w:r>
              <w:rPr>
                <w:spacing w:val="-5"/>
                <w:sz w:val="24"/>
              </w:rPr>
              <w:t> </w:t>
            </w:r>
            <w:r>
              <w:rPr>
                <w:sz w:val="24"/>
              </w:rPr>
              <w:t>19</w:t>
            </w:r>
            <w:r>
              <w:rPr>
                <w:position w:val="6"/>
                <w:sz w:val="16"/>
              </w:rPr>
              <w:t>th</w:t>
            </w:r>
            <w:r>
              <w:rPr>
                <w:spacing w:val="1"/>
                <w:position w:val="6"/>
                <w:sz w:val="16"/>
              </w:rPr>
              <w:t> </w:t>
            </w:r>
            <w:r>
              <w:rPr>
                <w:sz w:val="24"/>
              </w:rPr>
              <w:t>March</w:t>
            </w:r>
            <w:r>
              <w:rPr>
                <w:spacing w:val="-2"/>
                <w:sz w:val="24"/>
              </w:rPr>
              <w:t> </w:t>
            </w:r>
            <w:r>
              <w:rPr>
                <w:spacing w:val="-4"/>
                <w:sz w:val="24"/>
              </w:rPr>
              <w:t>2025</w:t>
            </w:r>
          </w:p>
        </w:tc>
        <w:tc>
          <w:tcPr>
            <w:tcW w:w="6412" w:type="dxa"/>
            <w:vMerge w:val="restart"/>
            <w:tcBorders>
              <w:top w:val="single" w:sz="12" w:space="0" w:color="000000"/>
            </w:tcBorders>
          </w:tcPr>
          <w:p>
            <w:pPr>
              <w:pStyle w:val="TableParagraph"/>
              <w:spacing w:line="276" w:lineRule="auto"/>
              <w:ind w:left="107" w:right="106"/>
              <w:jc w:val="both"/>
              <w:rPr>
                <w:i/>
                <w:sz w:val="24"/>
              </w:rPr>
            </w:pPr>
            <w:r>
              <w:rPr>
                <w:i/>
                <w:sz w:val="24"/>
              </w:rPr>
              <w:t>This article analyzes the ideas of foreign and domestic legal scholars who have studied law-making activity as a subject of scientific research, and expresses personal opinions in this field. Additionally, the author's definition of the concept of "law-making" has been developed.</w:t>
            </w:r>
          </w:p>
        </w:tc>
      </w:tr>
      <w:tr>
        <w:trPr>
          <w:trHeight w:val="279" w:hRule="atLeast"/>
        </w:trPr>
        <w:tc>
          <w:tcPr>
            <w:tcW w:w="3313" w:type="dxa"/>
          </w:tcPr>
          <w:p>
            <w:pPr>
              <w:pStyle w:val="TableParagraph"/>
              <w:tabs>
                <w:tab w:pos="890" w:val="left" w:leader="none"/>
                <w:tab w:pos="3026" w:val="left" w:leader="none"/>
              </w:tabs>
              <w:spacing w:line="252" w:lineRule="exact" w:before="7"/>
              <w:ind w:left="-58"/>
              <w:rPr>
                <w:b/>
                <w:sz w:val="22"/>
              </w:rPr>
            </w:pPr>
            <w:r>
              <w:rPr>
                <w:b/>
                <w:color w:val="09707A"/>
                <w:sz w:val="22"/>
                <w:u w:val="thick" w:color="000000"/>
              </w:rPr>
              <w:tab/>
            </w:r>
            <w:r>
              <w:rPr>
                <w:b/>
                <w:color w:val="09707A"/>
                <w:spacing w:val="-2"/>
                <w:sz w:val="22"/>
                <w:u w:val="thick" w:color="000000"/>
              </w:rPr>
              <w:t>KEYWORDS</w:t>
            </w:r>
            <w:r>
              <w:rPr>
                <w:b/>
                <w:color w:val="09707A"/>
                <w:sz w:val="22"/>
                <w:u w:val="thick" w:color="000000"/>
              </w:rPr>
              <w:tab/>
            </w:r>
          </w:p>
        </w:tc>
        <w:tc>
          <w:tcPr>
            <w:tcW w:w="6412" w:type="dxa"/>
            <w:vMerge/>
            <w:tcBorders>
              <w:top w:val="nil"/>
            </w:tcBorders>
          </w:tcPr>
          <w:p>
            <w:pPr>
              <w:rPr>
                <w:sz w:val="2"/>
                <w:szCs w:val="2"/>
              </w:rPr>
            </w:pPr>
          </w:p>
        </w:tc>
      </w:tr>
      <w:tr>
        <w:trPr>
          <w:trHeight w:val="943" w:hRule="atLeast"/>
        </w:trPr>
        <w:tc>
          <w:tcPr>
            <w:tcW w:w="3313" w:type="dxa"/>
          </w:tcPr>
          <w:p>
            <w:pPr>
              <w:pStyle w:val="TableParagraph"/>
              <w:tabs>
                <w:tab w:pos="1814" w:val="left" w:leader="none"/>
              </w:tabs>
              <w:spacing w:before="14"/>
              <w:rPr>
                <w:i/>
                <w:sz w:val="24"/>
              </w:rPr>
            </w:pPr>
            <w:r>
              <w:rPr>
                <w:i/>
                <w:sz w:val="24"/>
              </w:rPr>
              <w:t>"law-</w:t>
            </w:r>
            <w:r>
              <w:rPr>
                <w:i/>
                <w:spacing w:val="-2"/>
                <w:sz w:val="24"/>
              </w:rPr>
              <w:t>making,"</w:t>
            </w:r>
            <w:r>
              <w:rPr>
                <w:i/>
                <w:sz w:val="24"/>
              </w:rPr>
              <w:tab/>
            </w:r>
            <w:r>
              <w:rPr>
                <w:i/>
                <w:spacing w:val="-2"/>
                <w:sz w:val="24"/>
              </w:rPr>
              <w:t>"legislative</w:t>
            </w:r>
          </w:p>
          <w:p>
            <w:pPr>
              <w:pStyle w:val="TableParagraph"/>
              <w:tabs>
                <w:tab w:pos="1812" w:val="left" w:leader="none"/>
              </w:tabs>
              <w:spacing w:line="320" w:lineRule="atLeast"/>
              <w:ind w:right="393"/>
              <w:rPr>
                <w:i/>
                <w:sz w:val="24"/>
              </w:rPr>
            </w:pPr>
            <w:r>
              <w:rPr>
                <w:i/>
                <w:spacing w:val="-2"/>
                <w:sz w:val="24"/>
              </w:rPr>
              <w:t>activity,"</w:t>
            </w:r>
            <w:r>
              <w:rPr>
                <w:i/>
                <w:sz w:val="24"/>
              </w:rPr>
              <w:tab/>
            </w:r>
            <w:r>
              <w:rPr>
                <w:i/>
                <w:spacing w:val="-2"/>
                <w:sz w:val="24"/>
              </w:rPr>
              <w:t>"legislative initiative."</w:t>
            </w:r>
          </w:p>
        </w:tc>
        <w:tc>
          <w:tcPr>
            <w:tcW w:w="6412" w:type="dxa"/>
            <w:vMerge/>
            <w:tcBorders>
              <w:top w:val="nil"/>
            </w:tcBorders>
          </w:tcPr>
          <w:p>
            <w:pPr>
              <w:rPr>
                <w:sz w:val="2"/>
                <w:szCs w:val="2"/>
              </w:rPr>
            </w:pPr>
          </w:p>
        </w:tc>
      </w:tr>
    </w:tbl>
    <w:p>
      <w:pPr>
        <w:pStyle w:val="Heading1"/>
        <w:spacing w:before="224"/>
      </w:pPr>
      <w:r>
        <w:rPr>
          <w:color w:val="0C707A"/>
        </w:rPr>
        <w:t>HUQUQ</w:t>
      </w:r>
      <w:r>
        <w:rPr>
          <w:color w:val="0C707A"/>
          <w:spacing w:val="-12"/>
        </w:rPr>
        <w:t> </w:t>
      </w:r>
      <w:r>
        <w:rPr>
          <w:color w:val="0C707A"/>
        </w:rPr>
        <w:t>IJODKORLIK</w:t>
      </w:r>
      <w:r>
        <w:rPr>
          <w:color w:val="0C707A"/>
          <w:spacing w:val="-7"/>
        </w:rPr>
        <w:t> </w:t>
      </w:r>
      <w:r>
        <w:rPr>
          <w:color w:val="0C707A"/>
        </w:rPr>
        <w:t>FAOLIYAT:</w:t>
      </w:r>
      <w:r>
        <w:rPr>
          <w:color w:val="0C707A"/>
          <w:spacing w:val="-9"/>
        </w:rPr>
        <w:t> </w:t>
      </w:r>
      <w:r>
        <w:rPr>
          <w:color w:val="0C707A"/>
        </w:rPr>
        <w:t>NAZARIY-HUQUQIY</w:t>
      </w:r>
      <w:r>
        <w:rPr>
          <w:color w:val="0C707A"/>
          <w:spacing w:val="-8"/>
        </w:rPr>
        <w:t> </w:t>
      </w:r>
      <w:r>
        <w:rPr>
          <w:color w:val="0C707A"/>
          <w:spacing w:val="-2"/>
        </w:rPr>
        <w:t>TAHLIL</w:t>
      </w:r>
    </w:p>
    <w:p>
      <w:pPr>
        <w:pStyle w:val="Heading2"/>
      </w:pPr>
      <w:r>
        <w:rPr>
          <w:color w:val="001F5F"/>
        </w:rPr>
        <w:t>Saparbay</w:t>
      </w:r>
      <w:r>
        <w:rPr>
          <w:color w:val="001F5F"/>
          <w:spacing w:val="-8"/>
        </w:rPr>
        <w:t> </w:t>
      </w:r>
      <w:r>
        <w:rPr>
          <w:color w:val="001F5F"/>
        </w:rPr>
        <w:t>Dauletbayevich</w:t>
      </w:r>
      <w:r>
        <w:rPr>
          <w:color w:val="001F5F"/>
          <w:spacing w:val="-7"/>
        </w:rPr>
        <w:t> </w:t>
      </w:r>
      <w:r>
        <w:rPr>
          <w:color w:val="001F5F"/>
          <w:spacing w:val="-2"/>
        </w:rPr>
        <w:t>Allambergenov</w:t>
      </w:r>
    </w:p>
    <w:p>
      <w:pPr>
        <w:pStyle w:val="BodyText"/>
        <w:spacing w:before="2"/>
        <w:ind w:left="1421" w:right="1422" w:firstLine="0"/>
        <w:jc w:val="center"/>
      </w:pPr>
      <w:r>
        <w:rPr>
          <w:color w:val="0C707A"/>
        </w:rPr>
        <w:t>O‘zbekiston</w:t>
      </w:r>
      <w:r>
        <w:rPr>
          <w:color w:val="0C707A"/>
          <w:spacing w:val="-6"/>
        </w:rPr>
        <w:t> </w:t>
      </w:r>
      <w:r>
        <w:rPr>
          <w:color w:val="0C707A"/>
        </w:rPr>
        <w:t>Respublikasi</w:t>
      </w:r>
      <w:r>
        <w:rPr>
          <w:color w:val="0C707A"/>
          <w:spacing w:val="-6"/>
        </w:rPr>
        <w:t> </w:t>
      </w:r>
      <w:r>
        <w:rPr>
          <w:color w:val="0C707A"/>
        </w:rPr>
        <w:t>IIV</w:t>
      </w:r>
      <w:r>
        <w:rPr>
          <w:color w:val="0C707A"/>
          <w:spacing w:val="-6"/>
        </w:rPr>
        <w:t> </w:t>
      </w:r>
      <w:r>
        <w:rPr>
          <w:color w:val="0C707A"/>
        </w:rPr>
        <w:t>Malaka</w:t>
      </w:r>
      <w:r>
        <w:rPr>
          <w:color w:val="0C707A"/>
          <w:spacing w:val="-6"/>
        </w:rPr>
        <w:t> </w:t>
      </w:r>
      <w:r>
        <w:rPr>
          <w:color w:val="0C707A"/>
        </w:rPr>
        <w:t>oshirish</w:t>
      </w:r>
      <w:r>
        <w:rPr>
          <w:color w:val="0C707A"/>
          <w:spacing w:val="-5"/>
        </w:rPr>
        <w:t> </w:t>
      </w:r>
      <w:r>
        <w:rPr>
          <w:color w:val="0C707A"/>
        </w:rPr>
        <w:t>instituti</w:t>
      </w:r>
      <w:r>
        <w:rPr>
          <w:color w:val="0C707A"/>
          <w:spacing w:val="-5"/>
        </w:rPr>
        <w:t> </w:t>
      </w:r>
      <w:r>
        <w:rPr>
          <w:color w:val="0C707A"/>
        </w:rPr>
        <w:t>dotsenti, yuridik fanlari bo‘yicha falsafa doktori (PhD) </w:t>
      </w:r>
      <w:hyperlink r:id="rId8">
        <w:r>
          <w:rPr>
            <w:color w:val="0C707A"/>
            <w:spacing w:val="-2"/>
          </w:rPr>
          <w:t>https://doi.org/10.5281/zenodo.15049479</w:t>
        </w:r>
      </w:hyperlink>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5"/>
        <w:gridCol w:w="6193"/>
      </w:tblGrid>
      <w:tr>
        <w:trPr>
          <w:trHeight w:val="283" w:hRule="atLeast"/>
        </w:trPr>
        <w:tc>
          <w:tcPr>
            <w:tcW w:w="3605" w:type="dxa"/>
          </w:tcPr>
          <w:p>
            <w:pPr>
              <w:pStyle w:val="TableParagraph"/>
              <w:tabs>
                <w:tab w:pos="875" w:val="left" w:leader="none"/>
                <w:tab w:pos="3322" w:val="left" w:leader="none"/>
              </w:tabs>
              <w:spacing w:line="264" w:lineRule="exact"/>
              <w:ind w:left="-58"/>
              <w:rPr>
                <w:b/>
                <w:sz w:val="24"/>
              </w:rPr>
            </w:pPr>
            <w:r>
              <w:rPr>
                <w:b/>
                <w:color w:val="09707A"/>
                <w:sz w:val="24"/>
                <w:u w:val="thick" w:color="000000"/>
              </w:rPr>
              <w:tab/>
              <w:t>ARTICLE</w:t>
            </w:r>
            <w:r>
              <w:rPr>
                <w:b/>
                <w:color w:val="09707A"/>
                <w:spacing w:val="-2"/>
                <w:sz w:val="24"/>
                <w:u w:val="thick" w:color="000000"/>
              </w:rPr>
              <w:t> </w:t>
            </w:r>
            <w:r>
              <w:rPr>
                <w:b/>
                <w:color w:val="09707A"/>
                <w:spacing w:val="-4"/>
                <w:sz w:val="24"/>
                <w:u w:val="thick" w:color="000000"/>
              </w:rPr>
              <w:t>INFO</w:t>
            </w:r>
            <w:r>
              <w:rPr>
                <w:b/>
                <w:color w:val="09707A"/>
                <w:sz w:val="24"/>
                <w:u w:val="thick" w:color="000000"/>
              </w:rPr>
              <w:tab/>
            </w:r>
          </w:p>
        </w:tc>
        <w:tc>
          <w:tcPr>
            <w:tcW w:w="6193" w:type="dxa"/>
            <w:tcBorders>
              <w:bottom w:val="single" w:sz="12" w:space="0" w:color="000000"/>
            </w:tcBorders>
          </w:tcPr>
          <w:p>
            <w:pPr>
              <w:pStyle w:val="TableParagraph"/>
              <w:spacing w:line="256" w:lineRule="exact"/>
              <w:ind w:left="4"/>
              <w:jc w:val="center"/>
              <w:rPr>
                <w:b/>
                <w:sz w:val="22"/>
              </w:rPr>
            </w:pPr>
            <w:r>
              <w:rPr>
                <w:b/>
                <w:color w:val="09707A"/>
                <w:spacing w:val="-2"/>
                <w:sz w:val="22"/>
              </w:rPr>
              <w:t>ABSTRACT</w:t>
            </w:r>
          </w:p>
        </w:tc>
      </w:tr>
      <w:tr>
        <w:trPr>
          <w:trHeight w:val="844" w:hRule="atLeast"/>
        </w:trPr>
        <w:tc>
          <w:tcPr>
            <w:tcW w:w="3605" w:type="dxa"/>
          </w:tcPr>
          <w:p>
            <w:pPr>
              <w:pStyle w:val="TableParagraph"/>
              <w:rPr>
                <w:sz w:val="24"/>
              </w:rPr>
            </w:pPr>
            <w:r>
              <w:rPr>
                <w:sz w:val="24"/>
              </w:rPr>
              <w:t>Received:</w:t>
            </w:r>
            <w:r>
              <w:rPr>
                <w:spacing w:val="-9"/>
                <w:sz w:val="24"/>
              </w:rPr>
              <w:t> </w:t>
            </w:r>
            <w:r>
              <w:rPr>
                <w:sz w:val="24"/>
              </w:rPr>
              <w:t>14</w:t>
            </w:r>
            <w:r>
              <w:rPr>
                <w:position w:val="6"/>
                <w:sz w:val="16"/>
              </w:rPr>
              <w:t>th</w:t>
            </w:r>
            <w:r>
              <w:rPr>
                <w:spacing w:val="-5"/>
                <w:position w:val="6"/>
                <w:sz w:val="16"/>
              </w:rPr>
              <w:t> </w:t>
            </w:r>
            <w:r>
              <w:rPr>
                <w:sz w:val="24"/>
              </w:rPr>
              <w:t>March</w:t>
            </w:r>
            <w:r>
              <w:rPr>
                <w:spacing w:val="-9"/>
                <w:sz w:val="24"/>
              </w:rPr>
              <w:t> </w:t>
            </w:r>
            <w:r>
              <w:rPr>
                <w:sz w:val="24"/>
              </w:rPr>
              <w:t>2025 Accepted:</w:t>
            </w:r>
            <w:r>
              <w:rPr>
                <w:spacing w:val="-4"/>
                <w:sz w:val="24"/>
              </w:rPr>
              <w:t> </w:t>
            </w:r>
            <w:r>
              <w:rPr>
                <w:sz w:val="24"/>
              </w:rPr>
              <w:t>18</w:t>
            </w:r>
            <w:r>
              <w:rPr>
                <w:position w:val="6"/>
                <w:sz w:val="16"/>
              </w:rPr>
              <w:t>th</w:t>
            </w:r>
            <w:r>
              <w:rPr>
                <w:spacing w:val="-1"/>
                <w:position w:val="6"/>
                <w:sz w:val="16"/>
              </w:rPr>
              <w:t> </w:t>
            </w:r>
            <w:r>
              <w:rPr>
                <w:sz w:val="24"/>
              </w:rPr>
              <w:t>March</w:t>
            </w:r>
            <w:r>
              <w:rPr>
                <w:spacing w:val="-4"/>
                <w:sz w:val="24"/>
              </w:rPr>
              <w:t> 2025</w:t>
            </w:r>
          </w:p>
          <w:p>
            <w:pPr>
              <w:pStyle w:val="TableParagraph"/>
              <w:spacing w:line="263" w:lineRule="exact"/>
              <w:rPr>
                <w:sz w:val="24"/>
              </w:rPr>
            </w:pPr>
            <w:r>
              <w:rPr>
                <w:sz w:val="24"/>
              </w:rPr>
              <w:t>Online:</w:t>
            </w:r>
            <w:r>
              <w:rPr>
                <w:spacing w:val="-5"/>
                <w:sz w:val="24"/>
              </w:rPr>
              <w:t> </w:t>
            </w:r>
            <w:r>
              <w:rPr>
                <w:sz w:val="24"/>
              </w:rPr>
              <w:t>19</w:t>
            </w:r>
            <w:r>
              <w:rPr>
                <w:position w:val="6"/>
                <w:sz w:val="16"/>
              </w:rPr>
              <w:t>th</w:t>
            </w:r>
            <w:r>
              <w:rPr>
                <w:spacing w:val="1"/>
                <w:position w:val="6"/>
                <w:sz w:val="16"/>
              </w:rPr>
              <w:t> </w:t>
            </w:r>
            <w:r>
              <w:rPr>
                <w:sz w:val="24"/>
              </w:rPr>
              <w:t>March</w:t>
            </w:r>
            <w:r>
              <w:rPr>
                <w:spacing w:val="-2"/>
                <w:sz w:val="24"/>
              </w:rPr>
              <w:t> </w:t>
            </w:r>
            <w:r>
              <w:rPr>
                <w:spacing w:val="-4"/>
                <w:sz w:val="24"/>
              </w:rPr>
              <w:t>2025</w:t>
            </w:r>
          </w:p>
        </w:tc>
        <w:tc>
          <w:tcPr>
            <w:tcW w:w="6193" w:type="dxa"/>
            <w:vMerge w:val="restart"/>
            <w:tcBorders>
              <w:top w:val="single" w:sz="12" w:space="0" w:color="000000"/>
            </w:tcBorders>
          </w:tcPr>
          <w:p>
            <w:pPr>
              <w:pStyle w:val="TableParagraph"/>
              <w:spacing w:line="276" w:lineRule="auto"/>
              <w:ind w:left="110" w:right="101"/>
              <w:jc w:val="both"/>
              <w:rPr>
                <w:i/>
                <w:sz w:val="24"/>
              </w:rPr>
            </w:pPr>
            <w:r>
              <w:rPr>
                <w:i/>
                <w:sz w:val="24"/>
              </w:rPr>
              <w:t>Ushbu maqolada huquq</w:t>
            </w:r>
            <w:r>
              <w:rPr>
                <w:i/>
                <w:spacing w:val="-4"/>
                <w:sz w:val="24"/>
              </w:rPr>
              <w:t> </w:t>
            </w:r>
            <w:r>
              <w:rPr>
                <w:i/>
                <w:sz w:val="24"/>
              </w:rPr>
              <w:t>ijodkorlik faoliyatini</w:t>
            </w:r>
            <w:r>
              <w:rPr>
                <w:i/>
                <w:spacing w:val="-1"/>
                <w:sz w:val="24"/>
              </w:rPr>
              <w:t> </w:t>
            </w:r>
            <w:r>
              <w:rPr>
                <w:i/>
                <w:sz w:val="24"/>
              </w:rPr>
              <w:t>ilmiy-tadqiqot predmeti sifatida o‘rgangan xorijiy va mahalliy huquqshunos olimlarning g‘oyalari tahlil etilgan hamda ushbu yo‘nalishda shaxsiy fikr-mulohazalar bildirilgan. Shuningdek, “huquq ijodkorlik” tushunchasiga mualiflik ta’rifi ishlab chiqilgan.</w:t>
            </w:r>
          </w:p>
        </w:tc>
      </w:tr>
      <w:tr>
        <w:trPr>
          <w:trHeight w:val="271" w:hRule="atLeast"/>
        </w:trPr>
        <w:tc>
          <w:tcPr>
            <w:tcW w:w="3605" w:type="dxa"/>
          </w:tcPr>
          <w:p>
            <w:pPr>
              <w:pStyle w:val="TableParagraph"/>
              <w:tabs>
                <w:tab w:pos="1036" w:val="left" w:leader="none"/>
                <w:tab w:pos="3322" w:val="left" w:leader="none"/>
              </w:tabs>
              <w:spacing w:line="252" w:lineRule="exact"/>
              <w:ind w:left="-58"/>
              <w:rPr>
                <w:b/>
                <w:sz w:val="22"/>
              </w:rPr>
            </w:pPr>
            <w:r>
              <w:rPr>
                <w:b/>
                <w:color w:val="09707A"/>
                <w:sz w:val="22"/>
                <w:u w:val="thick" w:color="000000"/>
              </w:rPr>
              <w:tab/>
            </w:r>
            <w:r>
              <w:rPr>
                <w:b/>
                <w:color w:val="09707A"/>
                <w:spacing w:val="-2"/>
                <w:sz w:val="22"/>
                <w:u w:val="thick" w:color="000000"/>
              </w:rPr>
              <w:t>KEYWORDS</w:t>
            </w:r>
            <w:r>
              <w:rPr>
                <w:b/>
                <w:color w:val="09707A"/>
                <w:sz w:val="22"/>
                <w:u w:val="thick" w:color="000000"/>
              </w:rPr>
              <w:tab/>
            </w:r>
          </w:p>
        </w:tc>
        <w:tc>
          <w:tcPr>
            <w:tcW w:w="6193" w:type="dxa"/>
            <w:vMerge/>
            <w:tcBorders>
              <w:top w:val="nil"/>
            </w:tcBorders>
          </w:tcPr>
          <w:p>
            <w:pPr>
              <w:rPr>
                <w:sz w:val="2"/>
                <w:szCs w:val="2"/>
              </w:rPr>
            </w:pPr>
          </w:p>
        </w:tc>
      </w:tr>
      <w:tr>
        <w:trPr>
          <w:trHeight w:val="940" w:hRule="atLeast"/>
        </w:trPr>
        <w:tc>
          <w:tcPr>
            <w:tcW w:w="3605" w:type="dxa"/>
          </w:tcPr>
          <w:p>
            <w:pPr>
              <w:pStyle w:val="TableParagraph"/>
              <w:tabs>
                <w:tab w:pos="1081" w:val="left" w:leader="none"/>
                <w:tab w:pos="2489" w:val="left" w:leader="none"/>
              </w:tabs>
              <w:spacing w:before="11"/>
              <w:rPr>
                <w:i/>
                <w:sz w:val="24"/>
              </w:rPr>
            </w:pPr>
            <w:r>
              <w:rPr>
                <w:i/>
                <w:spacing w:val="-2"/>
                <w:sz w:val="24"/>
              </w:rPr>
              <w:t>“qonun</w:t>
            </w:r>
            <w:r>
              <w:rPr>
                <w:i/>
                <w:sz w:val="24"/>
              </w:rPr>
              <w:tab/>
            </w:r>
            <w:r>
              <w:rPr>
                <w:i/>
                <w:spacing w:val="-2"/>
                <w:sz w:val="24"/>
              </w:rPr>
              <w:t>ijodkorlik”,</w:t>
            </w:r>
            <w:r>
              <w:rPr>
                <w:i/>
                <w:sz w:val="24"/>
              </w:rPr>
              <w:tab/>
            </w:r>
            <w:r>
              <w:rPr>
                <w:i/>
                <w:spacing w:val="-2"/>
                <w:sz w:val="24"/>
              </w:rPr>
              <w:t>“huquq</w:t>
            </w:r>
          </w:p>
          <w:p>
            <w:pPr>
              <w:pStyle w:val="TableParagraph"/>
              <w:tabs>
                <w:tab w:pos="1949" w:val="left" w:leader="none"/>
              </w:tabs>
              <w:spacing w:line="320" w:lineRule="atLeast"/>
              <w:ind w:right="389"/>
              <w:rPr>
                <w:i/>
                <w:sz w:val="24"/>
              </w:rPr>
            </w:pPr>
            <w:r>
              <w:rPr>
                <w:i/>
                <w:spacing w:val="-2"/>
                <w:sz w:val="24"/>
              </w:rPr>
              <w:t>ijodkorlik”,</w:t>
            </w:r>
            <w:r>
              <w:rPr>
                <w:i/>
                <w:sz w:val="24"/>
              </w:rPr>
              <w:tab/>
            </w:r>
            <w:r>
              <w:rPr>
                <w:i/>
                <w:spacing w:val="-2"/>
                <w:sz w:val="24"/>
              </w:rPr>
              <w:t>“qonunchilik tashabbusi”.</w:t>
            </w:r>
          </w:p>
        </w:tc>
        <w:tc>
          <w:tcPr>
            <w:tcW w:w="6193" w:type="dxa"/>
            <w:vMerge/>
            <w:tcBorders>
              <w:top w:val="nil"/>
            </w:tcBorders>
          </w:tcPr>
          <w:p>
            <w:pPr>
              <w:rPr>
                <w:sz w:val="2"/>
                <w:szCs w:val="2"/>
              </w:rPr>
            </w:pPr>
          </w:p>
        </w:tc>
      </w:tr>
    </w:tbl>
    <w:p>
      <w:pPr>
        <w:pStyle w:val="BodyText"/>
        <w:spacing w:before="1"/>
        <w:ind w:left="0" w:firstLine="0"/>
        <w:jc w:val="left"/>
      </w:pPr>
    </w:p>
    <w:p>
      <w:pPr>
        <w:pStyle w:val="BodyText"/>
        <w:spacing w:line="276" w:lineRule="auto"/>
        <w:ind w:right="137"/>
      </w:pPr>
      <w:r>
        <w:rPr/>
        <w:t>Ma’lumki, kishilik jamiyatida mavjud ijtimoiy munosabatlar axloq-odob qoidalari bilan bir qatorda, huquq normalari bilan ham tartibga solinadi. Ushbu huquq normalari esa, davlat mexanizmining hokimiyat va boshqaruv organlarining “</w:t>
      </w:r>
      <w:r>
        <w:rPr>
          <w:i/>
        </w:rPr>
        <w:t>qonun ijodkorlik</w:t>
      </w:r>
      <w:r>
        <w:rPr/>
        <w:t>”, “</w:t>
      </w:r>
      <w:r>
        <w:rPr>
          <w:i/>
        </w:rPr>
        <w:t>huquq ijodkorlik</w:t>
      </w:r>
      <w:r>
        <w:rPr/>
        <w:t>”</w:t>
      </w:r>
      <w:r>
        <w:rPr>
          <w:spacing w:val="40"/>
        </w:rPr>
        <w:t> </w:t>
      </w:r>
      <w:r>
        <w:rPr/>
        <w:t>va “</w:t>
      </w:r>
      <w:r>
        <w:rPr>
          <w:i/>
        </w:rPr>
        <w:t>qonunchilik tashabbusi</w:t>
      </w:r>
      <w:r>
        <w:rPr/>
        <w:t>” faoliyatlari orqali hayotga tadbiq etiladi.</w:t>
      </w:r>
    </w:p>
    <w:p>
      <w:pPr>
        <w:pStyle w:val="BodyText"/>
        <w:spacing w:line="276" w:lineRule="auto"/>
        <w:ind w:right="140"/>
      </w:pPr>
      <w:r>
        <w:rPr/>
        <w:t>Qayd etish joizki, davlat hokimiyati va boshqaruv organlarining vakolatlari bir-biridan farq qilishi bilan birga, ular tomonidan qabul qilingan normativ-huquqiy hujjatlari ham</w:t>
      </w:r>
      <w:r>
        <w:rPr>
          <w:spacing w:val="40"/>
        </w:rPr>
        <w:t> </w:t>
      </w:r>
      <w:r>
        <w:rPr/>
        <w:t>yuridik kuchiga ko‘ra farqlanadi. Bu normativ-huquqiy hujjatlar ichida qonun chiqaruvchi hokimiyat tomonidan qabul qilingan qonunlar eng ustuvor ahamiyat kasb etadi.</w:t>
      </w:r>
    </w:p>
    <w:p>
      <w:pPr>
        <w:pStyle w:val="BodyText"/>
        <w:spacing w:line="276" w:lineRule="auto"/>
        <w:ind w:right="142"/>
      </w:pPr>
      <w:r>
        <w:rPr/>
        <w:t>Davlat organlarining huquq ijodkorligi jamiyat boshqaruvini amalga oshirishning bir shakli sifatida boshqaruv tabiatiga ega ijtimoiy hodisa bo‘lib, har qanday ijtimoiy jarayon singari ushbu jarayon ham ongli, aniq maqsadga yo‘naltirilgan va huquqiy oqibatlarni belgilaydigan faoliyatdir. Shuningdek, mazkur jarayonlar amaldagi tegishli me’yorlar va tartiblar asosida amalga oshiriladi.</w:t>
      </w:r>
    </w:p>
    <w:p>
      <w:pPr>
        <w:pStyle w:val="BodyText"/>
        <w:spacing w:after="0" w:line="276" w:lineRule="auto"/>
        <w:sectPr>
          <w:headerReference w:type="default" r:id="rId5"/>
          <w:footerReference w:type="default" r:id="rId6"/>
          <w:type w:val="continuous"/>
          <w:pgSz w:w="11910" w:h="16840"/>
          <w:pgMar w:header="0" w:footer="766" w:top="1680" w:bottom="960" w:left="992" w:right="992"/>
          <w:pgNumType w:start="15"/>
        </w:sectPr>
      </w:pPr>
    </w:p>
    <w:p>
      <w:pPr>
        <w:pStyle w:val="BodyText"/>
        <w:spacing w:line="276" w:lineRule="auto" w:before="17"/>
        <w:ind w:right="136"/>
      </w:pPr>
      <w:r>
        <w:rPr/>
        <w:t>Fikrimizcha, huquq ijodkorlik faoliyatini ijtimoiy va huquqiy jarayon sifatida faqat</w:t>
      </w:r>
      <w:r>
        <w:rPr>
          <w:spacing w:val="40"/>
        </w:rPr>
        <w:t> </w:t>
      </w:r>
      <w:r>
        <w:rPr/>
        <w:t>huquq normalarini ishlab chiqish bilan bog‘liq faoliyat deb chegaralanish noto‘g‘ri. Chunki bu jarayon yanada kengroq bo‘lib, dastlab jamiyat hayotidagi ijtimoiy munosabatlarni chuqur tahlil etish orqali</w:t>
      </w:r>
      <w:r>
        <w:rPr>
          <w:spacing w:val="-1"/>
        </w:rPr>
        <w:t> </w:t>
      </w:r>
      <w:r>
        <w:rPr/>
        <w:t>huquqiy tartibga solishga bo‘lgan ehtiyojlarni aniqlash, manfaatdor vakolatli subyektlarning keng ishtirokida (yoki individual tartibda) mavjud muammolarni bartaraf etishga qaratilgan taklif va tavsiyalari asosida huquq norma loyihalarini ishlab chiqish, samarali natijalarga erishish bo‘yicha tanqidiy ruhda muhokama qilish, belgilangan tartibda qabul qilish va ijrosi ustidan qat’iy nazoratni o‘rnatish, shuningdek, qabul qilingan normativ-huquqiy hujjatlar va ularning talablarini bajarmagan yoki lozim darajada bajarmagan shaxslarni yuridik javobgarlikka tortish bilan bog‘liq barcha jarayonlarni o‘z ichiga qamrab oladi, desak mubolag‘a bo‘lmaydi.</w:t>
      </w:r>
    </w:p>
    <w:p>
      <w:pPr>
        <w:pStyle w:val="BodyText"/>
        <w:spacing w:line="276" w:lineRule="auto"/>
        <w:ind w:right="141"/>
      </w:pPr>
      <w:r>
        <w:rPr/>
        <w:t>Fikrimizni</w:t>
      </w:r>
      <w:r>
        <w:rPr>
          <w:spacing w:val="-3"/>
        </w:rPr>
        <w:t> </w:t>
      </w:r>
      <w:r>
        <w:rPr/>
        <w:t>davom</w:t>
      </w:r>
      <w:r>
        <w:rPr>
          <w:spacing w:val="-2"/>
        </w:rPr>
        <w:t> </w:t>
      </w:r>
      <w:r>
        <w:rPr/>
        <w:t>ettirib,</w:t>
      </w:r>
      <w:r>
        <w:rPr>
          <w:spacing w:val="-3"/>
        </w:rPr>
        <w:t> </w:t>
      </w:r>
      <w:r>
        <w:rPr/>
        <w:t>huquq</w:t>
      </w:r>
      <w:r>
        <w:rPr>
          <w:spacing w:val="-4"/>
        </w:rPr>
        <w:t> </w:t>
      </w:r>
      <w:r>
        <w:rPr/>
        <w:t>ijodkorlik</w:t>
      </w:r>
      <w:r>
        <w:rPr>
          <w:spacing w:val="-4"/>
        </w:rPr>
        <w:t> </w:t>
      </w:r>
      <w:r>
        <w:rPr/>
        <w:t>faoliyatini</w:t>
      </w:r>
      <w:r>
        <w:rPr>
          <w:spacing w:val="-4"/>
        </w:rPr>
        <w:t> </w:t>
      </w:r>
      <w:r>
        <w:rPr/>
        <w:t>predmet</w:t>
      </w:r>
      <w:r>
        <w:rPr>
          <w:spacing w:val="-4"/>
        </w:rPr>
        <w:t> </w:t>
      </w:r>
      <w:r>
        <w:rPr/>
        <w:t>sifatida</w:t>
      </w:r>
      <w:r>
        <w:rPr>
          <w:spacing w:val="-4"/>
        </w:rPr>
        <w:t> </w:t>
      </w:r>
      <w:r>
        <w:rPr/>
        <w:t>ilmiy</w:t>
      </w:r>
      <w:r>
        <w:rPr>
          <w:spacing w:val="-4"/>
        </w:rPr>
        <w:t> </w:t>
      </w:r>
      <w:r>
        <w:rPr/>
        <w:t>tadqiq</w:t>
      </w:r>
      <w:r>
        <w:rPr>
          <w:spacing w:val="-3"/>
        </w:rPr>
        <w:t> </w:t>
      </w:r>
      <w:r>
        <w:rPr/>
        <w:t>etgan ayrim huquqshunos olimlarning fikrlariga qisqacha to‘xtalamiz.</w:t>
      </w:r>
    </w:p>
    <w:p>
      <w:pPr>
        <w:pStyle w:val="BodyText"/>
        <w:spacing w:line="276" w:lineRule="auto" w:before="1"/>
        <w:ind w:right="138"/>
      </w:pPr>
      <w:r>
        <w:rPr/>
        <w:t>Xususan, professor X.T.Odilqoriyev, “huquq ijodkorligini vakolatli davlat idoralari va mansabdor shaxslarning huquq normalarini o‘rnatish, o‘zgartirish, takomillashtirish va bekor qilishga yo‘naltirilgan maxsus faoliyat” deb hisoblaydi [1; B.</w:t>
      </w:r>
      <w:r>
        <w:rPr>
          <w:spacing w:val="-1"/>
        </w:rPr>
        <w:t> </w:t>
      </w:r>
      <w:r>
        <w:rPr/>
        <w:t>239]. Huquqshunos olim A.M.Xashimhonov esa, “huquq ijodkorlik faoliyatini jamiyat va davlat ehtiyojidan kelib</w:t>
      </w:r>
      <w:r>
        <w:rPr>
          <w:spacing w:val="40"/>
        </w:rPr>
        <w:t> </w:t>
      </w:r>
      <w:r>
        <w:rPr/>
        <w:t>chiqqan holda, ijtimoiy munosabatlarni normativ-huquqiy tartibga solishga qaratilgan, davlat irodasi asosida amaldagi huquq normalarini o‘zgartirish, bekor qilish va yangi huquq normalarini yaratishga qaratilgan rasmiy faoliyat” deb hisoblaydi [2; B. 16].</w:t>
      </w:r>
    </w:p>
    <w:p>
      <w:pPr>
        <w:pStyle w:val="BodyText"/>
        <w:spacing w:line="276" w:lineRule="auto" w:before="1"/>
        <w:ind w:right="137"/>
      </w:pPr>
      <w:r>
        <w:rPr/>
        <w:t>Fikrimizcha, har ikkala tushunchada davlatning huquq normalarini o‘rnatish yoki ma’qullashi orqali huquqni qo‘llash faoliyatida namoyon bo‘ladi.</w:t>
      </w:r>
    </w:p>
    <w:p>
      <w:pPr>
        <w:pStyle w:val="BodyText"/>
        <w:spacing w:line="276" w:lineRule="auto"/>
        <w:ind w:right="138"/>
      </w:pPr>
      <w:r>
        <w:rPr/>
        <w:t>Ayrim tadqiqotlarda hukumatning huquq ijodkorligi faoliyati bir necha yo‘nalishda amalga oshirilishi ko‘rsatib o‘tilganiga guvoh bo‘lamiz. Bularga qonunchilik tashabbus huquqini amalga oshirish bilan bog‘liq yo‘nalish, qaror va farmoyishlar qabul qilish, hukumatga bo‘ysunuvchi tuzilmalarning normativ xususiyatga ega hujjatlarini tayyorlash va qabul qilish faoliyatini tashkil etish hamda nazorat qilish, hukumatning bevosita xalqaro huquqiy shartnoma va kelishuvlarni tayyorlash va ishlab chiqishda qatnashishi hamda ushbu yo‘nalishlardan eng asosiysi qonun ijodkorligi jarayonida ishtirok etish. Umuman olganda, hukumat faoliyati universal bo‘lganligi uchun jamiyat hayotida sodir bo‘layotgan va sodir bo‘lishi mumkin bo‘lgan barcha munosabatlarga o‘zining huquqiy ta’sirini ko‘rsatadi [3; S. 12-13]. Shu jihatdan bunday keng miqyosdagi faoliyatni boshqa biror-bir davlat organi amalga oshira olmaydi.</w:t>
      </w:r>
    </w:p>
    <w:p>
      <w:pPr>
        <w:pStyle w:val="BodyText"/>
        <w:spacing w:line="276" w:lineRule="auto" w:before="1"/>
        <w:ind w:right="139"/>
      </w:pPr>
      <w:r>
        <w:rPr/>
        <w:t>Nazarimizda, hukumatning huquq ijodkorlik faoliyati huquqni yaratishga qaratilgan rasmiy faoliyat shakli sifatida muayyan bosqichlardan iborat bo‘lib, Konstitutsiya va qonun hujjatlar asosida davlat va ijro vakolatlarini amalga oshirish hamda ularni qo‘llashni o‘z ichiga oladi, deb ta’rif bersak bo‘ladi.</w:t>
      </w:r>
    </w:p>
    <w:p>
      <w:pPr>
        <w:pStyle w:val="BodyText"/>
        <w:spacing w:line="276" w:lineRule="auto"/>
        <w:ind w:right="140"/>
      </w:pPr>
      <w:r>
        <w:rPr/>
        <w:t>Bundan tashqari, huquq ijodkorligi jarayonining uch bosqichda amalga oshirilishi ko‘rsatib o‘tilgan. Jumladan, normativ hujjat loyihasini tayyorlash, muhokama qilish, qabul qilish, amalga kiritish. Bunda normativ hujjatning kuchga kirishi uning hal qiluvchi bosqichi deb baholangan. Shuningdek, huquq ijodkorlik va huquqni qo‘llash faoliyati samaradorligini oshirish uchun ularning amalda bo‘lish jarayonini belgilab beruvchi muayyan qoida,</w:t>
      </w:r>
      <w:r>
        <w:rPr>
          <w:spacing w:val="40"/>
        </w:rPr>
        <w:t> </w:t>
      </w:r>
      <w:r>
        <w:rPr/>
        <w:t>reglament bo‘lishini e’tirof etadi [4; S. 6-7].</w:t>
      </w:r>
    </w:p>
    <w:p>
      <w:pPr>
        <w:pStyle w:val="BodyText"/>
        <w:spacing w:after="0" w:line="276" w:lineRule="auto"/>
        <w:sectPr>
          <w:pgSz w:w="11910" w:h="16840"/>
          <w:pgMar w:header="0" w:footer="766" w:top="1680" w:bottom="960" w:left="992" w:right="992"/>
        </w:sectPr>
      </w:pPr>
    </w:p>
    <w:p>
      <w:pPr>
        <w:pStyle w:val="BodyText"/>
        <w:spacing w:line="276" w:lineRule="auto" w:before="17"/>
        <w:ind w:right="142"/>
      </w:pPr>
      <w:r>
        <w:rPr/>
        <w:t>Huquqshunos olim A.M.Xashimhonov ijro etuvchi organlari tomonidan chiqariladigan hujjatlarni hokimiyat subyektlari doirasiga ko‘ra uch bo‘g‘inga ajratadi. Xususan, “ijro etuvchi yuqori organi hukumat tomonidan chiqariladigan hujjatlar, ijro hokimiyatining markaziy organlari vazirliklar, davlat qo‘mitalari hamda agentliklar tomonidan chiqariladigan hujjatlar va mahalliy davlat hokimiyati organlari tomonidan chiqariladigan hujjatlar” [5; B. 26]. Bu borada ilmiy-tadqiqotlar olib borgan Qozog‘istonlik olima R.K.Naurizbayeva esa, hukumat qarorlarining yo‘naltirilganlik ahamiyatidan kelib chiqib ularni, “umumrespublika ahamiyatidagi hujjatlar, mintaqa doirasidagi hujjatlar, sohalararo ahamiyatga ega bo‘lgan hujjatlar, muayyan soha doirasidagi hujjatlar va xalqaro ahamiyatga ega bo‘lgan hujjatlarga” ajratadi [6; S. 6-7].</w:t>
      </w:r>
    </w:p>
    <w:p>
      <w:pPr>
        <w:pStyle w:val="BodyText"/>
        <w:spacing w:line="276" w:lineRule="auto" w:before="2"/>
        <w:ind w:right="147"/>
      </w:pPr>
      <w:r>
        <w:rPr/>
        <w:t>Fikrimizcha, ushbu jarayonlarga ijro etuvchi organlar faoliyatiga umumiy rahbarlikni amalga oshiruvchi mansabdor shaxslar tomonidan qabul qilinadigan farmoyishlarni [7] ham kiritish maqsadga muvofiq.</w:t>
      </w:r>
    </w:p>
    <w:p>
      <w:pPr>
        <w:pStyle w:val="BodyText"/>
        <w:spacing w:line="276" w:lineRule="auto"/>
        <w:ind w:right="143"/>
      </w:pPr>
      <w:r>
        <w:rPr/>
        <w:t>Ko‘p hollarda qabul qilingan qonunlarning samarali ijrosini ta’minlash va o‘z vakolatlarini samarali amalga oshirish hamda ijro organlar faoliyatini muvofiqlashtirish</w:t>
      </w:r>
      <w:r>
        <w:rPr>
          <w:spacing w:val="40"/>
        </w:rPr>
        <w:t> </w:t>
      </w:r>
      <w:r>
        <w:rPr/>
        <w:t>uchun hukumatning qarorlari va farmoyishlari qabul qilinadi. Xususan, ijro hokimiyat organlari rahbarlari tomonidan qabul qilingan ushbu normativ-huquqiy hujjatlar ham bevosita jamiyat hayotida ma’lum bir sohani tartibga solishda huquqiy oqibatlarni keltirib chiqarishiga sabab bo‘ladi. Bu borada Ye.S.Slesareva, “boshqaruvning individual hujjatlari huquq sohalari normalari (ma’muriy, moliya, mehnat, fuqarolik) yordamida jamiyatga tadbiq etilsada, amaldagi qonunchilik hamda huquqni tadbiq etuvchi boshqaruv organlarning faoliyatini ifoda etuvchi vosita sifatida namoyon bo‘ladi deb hisoblab, individual hujjatlar hukumat faoliyatini ifoda etayotganligini hamda bu faoliyatning aksi ekanligini, ya’ni shu orqali namoyon bo‘lishini” uqtiradi [8; S. 13].</w:t>
      </w:r>
    </w:p>
    <w:p>
      <w:pPr>
        <w:pStyle w:val="BodyText"/>
        <w:spacing w:line="276" w:lineRule="auto"/>
        <w:ind w:right="140"/>
      </w:pPr>
      <w:r>
        <w:rPr/>
        <w:t>Ijro hokimiyat organlarida huquq ijodkorlik faoliyatini amalga oshiruvchi</w:t>
      </w:r>
      <w:r>
        <w:rPr>
          <w:spacing w:val="40"/>
        </w:rPr>
        <w:t> </w:t>
      </w:r>
      <w:r>
        <w:rPr/>
        <w:t>subyektlarning ko‘lami kengligidan kelib chiqib, ushbu sohada o‘z qarashlarini bildirgan olimlarning fikrlariga qisqacha to‘xtalamiz. Jumladan, Yu.D.Rudkin, “huquq ijodkorlik subyektlarini quyidagicha to‘rt guruhga ajratadi. Bularga, “tashabbuskor subyekt”, “ishlab chiquvchi subyekt”, “hal qiluvchi subyekt”, “ijro etuvchi subyektlarga” bo‘ladi [9; S. 9-10]. A.M.Xashimhonov esa, ushbu ta’rifga “huquq ijodkorlik subyektlarining barchasi faqatgina hukumat tarkibiy tuzilishining ichiga kirib ketishini” e’tirof etadi [10; B. 27].</w:t>
      </w:r>
    </w:p>
    <w:p>
      <w:pPr>
        <w:pStyle w:val="BodyText"/>
        <w:spacing w:line="276" w:lineRule="auto"/>
        <w:ind w:right="137"/>
      </w:pPr>
      <w:r>
        <w:rPr/>
        <w:t>Fikrimizcha,</w:t>
      </w:r>
      <w:r>
        <w:rPr>
          <w:spacing w:val="-2"/>
        </w:rPr>
        <w:t> </w:t>
      </w:r>
      <w:r>
        <w:rPr/>
        <w:t>huquq</w:t>
      </w:r>
      <w:r>
        <w:rPr>
          <w:spacing w:val="-3"/>
        </w:rPr>
        <w:t> </w:t>
      </w:r>
      <w:r>
        <w:rPr/>
        <w:t>ijodkorlik</w:t>
      </w:r>
      <w:r>
        <w:rPr>
          <w:spacing w:val="-4"/>
        </w:rPr>
        <w:t> </w:t>
      </w:r>
      <w:r>
        <w:rPr/>
        <w:t>faoliyatini</w:t>
      </w:r>
      <w:r>
        <w:rPr>
          <w:spacing w:val="-3"/>
        </w:rPr>
        <w:t> </w:t>
      </w:r>
      <w:r>
        <w:rPr/>
        <w:t>amalga</w:t>
      </w:r>
      <w:r>
        <w:rPr>
          <w:spacing w:val="-3"/>
        </w:rPr>
        <w:t> </w:t>
      </w:r>
      <w:r>
        <w:rPr/>
        <w:t>oshiruvchi</w:t>
      </w:r>
      <w:r>
        <w:rPr>
          <w:spacing w:val="-3"/>
        </w:rPr>
        <w:t> </w:t>
      </w:r>
      <w:r>
        <w:rPr/>
        <w:t>subyektlar</w:t>
      </w:r>
      <w:r>
        <w:rPr>
          <w:spacing w:val="-2"/>
        </w:rPr>
        <w:t> </w:t>
      </w:r>
      <w:r>
        <w:rPr/>
        <w:t>guruhiga</w:t>
      </w:r>
      <w:r>
        <w:rPr>
          <w:spacing w:val="-3"/>
        </w:rPr>
        <w:t> </w:t>
      </w:r>
      <w:r>
        <w:rPr/>
        <w:t>“dastlab jamiyat hayotida huquq normalariga bo‘lgan ehtiyoj va talablarni o‘rganuvchi subyektlar”ni ham kiritish maqsadga muvofiq, deb hisoblaymiz. Masalan, fuqarolar, nodavlat va notijorat tashkilotlari hamda demokratik institutlarni kiritishimiz mumkin. Sababi, Yu.D.Rudkinning e’tirof etishicha huquq ijodkorlik subyektlari guruhiga “tashabbuskor subyektlar”ni kiritishi</w:t>
      </w:r>
      <w:r>
        <w:rPr>
          <w:spacing w:val="40"/>
        </w:rPr>
        <w:t> </w:t>
      </w:r>
      <w:r>
        <w:rPr/>
        <w:t>va bu jarayonda qonun hujjatlarga asosan qonunchilik tashabbusi huquqiga ega bo‘lgan subyektlar doirasi bilan chegaralangan.</w:t>
      </w:r>
    </w:p>
    <w:p>
      <w:pPr>
        <w:pStyle w:val="BodyText"/>
        <w:spacing w:line="276" w:lineRule="auto" w:before="1"/>
        <w:ind w:right="140"/>
      </w:pPr>
      <w:r>
        <w:rPr/>
        <w:t>Nazarimizda, muallifning bu qarashlaridan tashqari ham huquq ijodkorlik subyektlari tizimida boshqa subyektlar</w:t>
      </w:r>
      <w:r>
        <w:rPr>
          <w:spacing w:val="-1"/>
        </w:rPr>
        <w:t> </w:t>
      </w:r>
      <w:r>
        <w:rPr/>
        <w:t>ham</w:t>
      </w:r>
      <w:r>
        <w:rPr>
          <w:spacing w:val="-1"/>
        </w:rPr>
        <w:t> </w:t>
      </w:r>
      <w:r>
        <w:rPr/>
        <w:t>bevosita va bilvosita ishtirok</w:t>
      </w:r>
      <w:r>
        <w:rPr>
          <w:spacing w:val="-2"/>
        </w:rPr>
        <w:t> </w:t>
      </w:r>
      <w:r>
        <w:rPr/>
        <w:t>etishini</w:t>
      </w:r>
      <w:r>
        <w:rPr>
          <w:spacing w:val="-3"/>
        </w:rPr>
        <w:t> </w:t>
      </w:r>
      <w:r>
        <w:rPr/>
        <w:t>qayd</w:t>
      </w:r>
      <w:r>
        <w:rPr>
          <w:spacing w:val="-2"/>
        </w:rPr>
        <w:t> </w:t>
      </w:r>
      <w:r>
        <w:rPr/>
        <w:t>etishimiz</w:t>
      </w:r>
      <w:r>
        <w:rPr>
          <w:spacing w:val="-1"/>
        </w:rPr>
        <w:t> </w:t>
      </w:r>
      <w:r>
        <w:rPr/>
        <w:t>mumkin. Bu subyektlar jumlasiga aynan davlat hokimiyatining vazifalari va vakolatlarini to‘g‘ridan to‘g‘ri amalga oshirmaydigan, ammo jamiyat hayotida huquqiy jihatdan tartibga solinmagan ijtimoiy</w:t>
      </w:r>
      <w:r>
        <w:rPr>
          <w:spacing w:val="40"/>
        </w:rPr>
        <w:t> </w:t>
      </w:r>
      <w:r>
        <w:rPr/>
        <w:t>bo‘shliqlarni</w:t>
      </w:r>
      <w:r>
        <w:rPr>
          <w:spacing w:val="40"/>
        </w:rPr>
        <w:t> </w:t>
      </w:r>
      <w:r>
        <w:rPr/>
        <w:t>to‘ldirish</w:t>
      </w:r>
      <w:r>
        <w:rPr>
          <w:spacing w:val="40"/>
        </w:rPr>
        <w:t> </w:t>
      </w:r>
      <w:r>
        <w:rPr/>
        <w:t>bo‘yicha</w:t>
      </w:r>
      <w:r>
        <w:rPr>
          <w:spacing w:val="40"/>
        </w:rPr>
        <w:t> </w:t>
      </w:r>
      <w:r>
        <w:rPr/>
        <w:t>davlat</w:t>
      </w:r>
      <w:r>
        <w:rPr>
          <w:spacing w:val="40"/>
        </w:rPr>
        <w:t> </w:t>
      </w:r>
      <w:r>
        <w:rPr/>
        <w:t>hokimiyat</w:t>
      </w:r>
      <w:r>
        <w:rPr>
          <w:spacing w:val="40"/>
        </w:rPr>
        <w:t> </w:t>
      </w:r>
      <w:r>
        <w:rPr/>
        <w:t>va</w:t>
      </w:r>
      <w:r>
        <w:rPr>
          <w:spacing w:val="40"/>
        </w:rPr>
        <w:t> </w:t>
      </w:r>
      <w:r>
        <w:rPr/>
        <w:t>boshqaruv</w:t>
      </w:r>
      <w:r>
        <w:rPr>
          <w:spacing w:val="40"/>
        </w:rPr>
        <w:t> </w:t>
      </w:r>
      <w:r>
        <w:rPr/>
        <w:t>organlariga</w:t>
      </w:r>
      <w:r>
        <w:rPr>
          <w:spacing w:val="40"/>
        </w:rPr>
        <w:t> </w:t>
      </w:r>
      <w:r>
        <w:rPr/>
        <w:t>asosli</w:t>
      </w:r>
    </w:p>
    <w:p>
      <w:pPr>
        <w:pStyle w:val="BodyText"/>
        <w:spacing w:after="0" w:line="276" w:lineRule="auto"/>
        <w:sectPr>
          <w:pgSz w:w="11910" w:h="16840"/>
          <w:pgMar w:header="0" w:footer="766" w:top="1680" w:bottom="960" w:left="992" w:right="992"/>
        </w:sectPr>
      </w:pPr>
    </w:p>
    <w:p>
      <w:pPr>
        <w:pStyle w:val="BodyText"/>
        <w:spacing w:line="276" w:lineRule="auto" w:before="17"/>
        <w:ind w:right="138" w:firstLine="0"/>
      </w:pPr>
      <w:r>
        <w:rPr/>
        <w:t>tashabbus bilan ishtirok etadigan subyektlarni kiritishimiz mumkin. Shuningdek, ushbu subyektlar qonun chiqaruvchi hokimiyat organiga saylangan deputatlar yoki hududiylik jihatdan saylangan (tayinlangan) senatorlarga asoslantirilgan takliflari bilan tashabbus ko‘rsatishi ham mumkin.</w:t>
      </w:r>
    </w:p>
    <w:p>
      <w:pPr>
        <w:pStyle w:val="BodyText"/>
        <w:spacing w:line="276" w:lineRule="auto" w:before="2"/>
        <w:ind w:right="145"/>
      </w:pPr>
      <w:r>
        <w:rPr/>
        <w:t>Bildirilgan fikrlarimizdan kelib chiqib, “huquq ijodkorlik subyektlari” guruhini quyidagicha ajratamiz:</w:t>
      </w:r>
    </w:p>
    <w:p>
      <w:pPr>
        <w:pStyle w:val="BodyText"/>
        <w:spacing w:line="276" w:lineRule="auto"/>
        <w:ind w:right="143"/>
      </w:pPr>
      <w:r>
        <w:rPr>
          <w:i/>
        </w:rPr>
        <w:t>birinchidan, </w:t>
      </w:r>
      <w:r>
        <w:rPr/>
        <w:t>dastlab jamiyat hayotida huquq normalariga bo‘lgan ehtiyoj va talablarni o‘rganuvchi subyektlar;</w:t>
      </w:r>
    </w:p>
    <w:p>
      <w:pPr>
        <w:pStyle w:val="BodyText"/>
        <w:ind w:left="707" w:firstLine="0"/>
      </w:pPr>
      <w:r>
        <w:rPr>
          <w:i/>
        </w:rPr>
        <w:t>ikkinchidan,</w:t>
      </w:r>
      <w:r>
        <w:rPr>
          <w:i/>
          <w:spacing w:val="-6"/>
        </w:rPr>
        <w:t> </w:t>
      </w:r>
      <w:r>
        <w:rPr/>
        <w:t>qonunchilik</w:t>
      </w:r>
      <w:r>
        <w:rPr>
          <w:spacing w:val="-6"/>
        </w:rPr>
        <w:t> </w:t>
      </w:r>
      <w:r>
        <w:rPr/>
        <w:t>tashabbusi</w:t>
      </w:r>
      <w:r>
        <w:rPr>
          <w:spacing w:val="-5"/>
        </w:rPr>
        <w:t> </w:t>
      </w:r>
      <w:r>
        <w:rPr/>
        <w:t>huquqiga</w:t>
      </w:r>
      <w:r>
        <w:rPr>
          <w:spacing w:val="-5"/>
        </w:rPr>
        <w:t> </w:t>
      </w:r>
      <w:r>
        <w:rPr/>
        <w:t>ega</w:t>
      </w:r>
      <w:r>
        <w:rPr>
          <w:spacing w:val="-5"/>
        </w:rPr>
        <w:t> </w:t>
      </w:r>
      <w:r>
        <w:rPr/>
        <w:t>bo‘lgan</w:t>
      </w:r>
      <w:r>
        <w:rPr>
          <w:spacing w:val="-3"/>
        </w:rPr>
        <w:t> </w:t>
      </w:r>
      <w:r>
        <w:rPr>
          <w:spacing w:val="-2"/>
        </w:rPr>
        <w:t>subyektlar;</w:t>
      </w:r>
    </w:p>
    <w:p>
      <w:pPr>
        <w:pStyle w:val="BodyText"/>
        <w:spacing w:before="42"/>
        <w:ind w:left="707" w:firstLine="0"/>
      </w:pPr>
      <w:r>
        <w:rPr>
          <w:i/>
        </w:rPr>
        <w:t>uchinchidan,</w:t>
      </w:r>
      <w:r>
        <w:rPr>
          <w:i/>
          <w:spacing w:val="-7"/>
        </w:rPr>
        <w:t> </w:t>
      </w:r>
      <w:r>
        <w:rPr/>
        <w:t>huquqiy</w:t>
      </w:r>
      <w:r>
        <w:rPr>
          <w:spacing w:val="-6"/>
        </w:rPr>
        <w:t> </w:t>
      </w:r>
      <w:r>
        <w:rPr/>
        <w:t>hujjat</w:t>
      </w:r>
      <w:r>
        <w:rPr>
          <w:spacing w:val="-5"/>
        </w:rPr>
        <w:t> </w:t>
      </w:r>
      <w:r>
        <w:rPr/>
        <w:t>loyihalarini</w:t>
      </w:r>
      <w:r>
        <w:rPr>
          <w:spacing w:val="-6"/>
        </w:rPr>
        <w:t> </w:t>
      </w:r>
      <w:r>
        <w:rPr/>
        <w:t>ishlab</w:t>
      </w:r>
      <w:r>
        <w:rPr>
          <w:spacing w:val="-7"/>
        </w:rPr>
        <w:t> </w:t>
      </w:r>
      <w:r>
        <w:rPr/>
        <w:t>chiquvchi</w:t>
      </w:r>
      <w:r>
        <w:rPr>
          <w:spacing w:val="-5"/>
        </w:rPr>
        <w:t> </w:t>
      </w:r>
      <w:r>
        <w:rPr>
          <w:spacing w:val="-2"/>
        </w:rPr>
        <w:t>subyektlar;</w:t>
      </w:r>
    </w:p>
    <w:p>
      <w:pPr>
        <w:pStyle w:val="BodyText"/>
        <w:spacing w:line="273" w:lineRule="auto" w:before="42"/>
        <w:ind w:right="144"/>
      </w:pPr>
      <w:r>
        <w:rPr>
          <w:i/>
        </w:rPr>
        <w:t>to‘rtinchidan, </w:t>
      </w:r>
      <w:r>
        <w:rPr/>
        <w:t>huquqiy hujjatlarni kuchga kirish vakolatiga ega bo‘lgan va uning ijrosi ustidan nazorat qiluvchi subyektlar;</w:t>
      </w:r>
    </w:p>
    <w:p>
      <w:pPr>
        <w:pStyle w:val="BodyText"/>
        <w:spacing w:line="276" w:lineRule="auto" w:before="5"/>
        <w:ind w:right="141"/>
      </w:pPr>
      <w:r>
        <w:rPr>
          <w:i/>
        </w:rPr>
        <w:t>beshinchidan, </w:t>
      </w:r>
      <w:r>
        <w:rPr/>
        <w:t>huquqiy hujjatlarning ijrosini ta’minlovchi subyektlarga bo‘lishimiz </w:t>
      </w:r>
      <w:r>
        <w:rPr>
          <w:spacing w:val="-2"/>
        </w:rPr>
        <w:t>mumkin.</w:t>
      </w:r>
    </w:p>
    <w:p>
      <w:pPr>
        <w:pStyle w:val="BodyText"/>
        <w:spacing w:line="276" w:lineRule="auto" w:before="1"/>
        <w:ind w:right="142"/>
      </w:pPr>
      <w:r>
        <w:rPr/>
        <w:t>Ayrim manbalarda huquq ijodkorlik faoliyati keng ma’noda ta’riflangan. Xususan, huquq ijodkorligi davlatning jamiyat maqsadlariga erishishga yo‘naltirilgan va tashkiliy jihatdan rasmiylashtirilgan faoliyat bo‘lib, bunda ijtimoiy munosabatlarni tartibga solish ehtiyoji aniqlanishi, shu asosda unga mos bo‘lgan yangi huquq normalar yaratilishi, amaldagilari o‘zgartirilishi yoki bekor qilinishi bo‘yicha g‘oyalar ilgari surilgan [11; S. 26].</w:t>
      </w:r>
    </w:p>
    <w:p>
      <w:pPr>
        <w:pStyle w:val="BodyText"/>
        <w:spacing w:line="276" w:lineRule="auto"/>
        <w:ind w:right="139"/>
      </w:pPr>
      <w:r>
        <w:rPr/>
        <w:t>Huquq ijodkorligi jamiyat va davlatning huquqiy ehtiyojlarini aniqlash va baholash, vakolatli subyektlarning huquqiy hujjatlarni belgilangan tartibda shakllantirish va qabul qilishni qamrab oluvchi jarayon [12; S. 157]. Ushbu ta’rifda bir-biri bilan aloqador bo‘lgan jarayonlar e’tirof etilgan.</w:t>
      </w:r>
    </w:p>
    <w:p>
      <w:pPr>
        <w:pStyle w:val="BodyText"/>
        <w:spacing w:line="276" w:lineRule="auto"/>
        <w:ind w:right="137"/>
      </w:pPr>
      <w:r>
        <w:rPr/>
        <w:t>Fikrimizcha, huquq ijodkorligi birinchidan, jamiyat hayotidagi mavjud ehtiyoj va talablarni davlat organi va tashabbus huquqiga ega bo‘lgan barcha ishtirokchilar tomonidan aniqlanishi, ikkinchidan, davlat organi tomonidan mavjud ehtiyoj va talablarni tartibga solishga qaratilgan huquqiy hujjatlarning shaklini belgilash orqali uning loyihalarini ishlab chiqishi, uchinchidan, belgilangan tartibda tegishli huquqiy hujjatlarni qabul qilish, zarur hollarda unga o‘zgartish va qo‘shimchalar kiritish orqali takomillashtirish yoki bekor qilishga qaratilgan barcha uzviy o‘zaro bog‘liq jarayonlarni o‘z ichiga qamrab olganligini qayd etishimiz mumkin.</w:t>
      </w:r>
    </w:p>
    <w:p>
      <w:pPr>
        <w:pStyle w:val="BodyText"/>
        <w:spacing w:line="276" w:lineRule="auto"/>
        <w:ind w:right="137"/>
      </w:pPr>
      <w:r>
        <w:rPr/>
        <w:t>Xulosamizda bildirilgan fikr va mulohazalarimiz asosida “</w:t>
      </w:r>
      <w:r>
        <w:rPr>
          <w:i/>
        </w:rPr>
        <w:t>huquq ijodkorlik</w:t>
      </w:r>
      <w:r>
        <w:rPr/>
        <w:t>”</w:t>
      </w:r>
      <w:r>
        <w:rPr>
          <w:spacing w:val="40"/>
        </w:rPr>
        <w:t> </w:t>
      </w:r>
      <w:r>
        <w:rPr/>
        <w:t>tushunchasini nazariy-huquqiy jihatdan yoritishga harakat qilamiz.</w:t>
      </w:r>
    </w:p>
    <w:p>
      <w:pPr>
        <w:pStyle w:val="BodyText"/>
        <w:spacing w:line="276" w:lineRule="auto" w:before="1"/>
        <w:ind w:right="142"/>
      </w:pPr>
      <w:r>
        <w:rPr>
          <w:b/>
          <w:i/>
        </w:rPr>
        <w:t>Huquq ijodkorlik </w:t>
      </w:r>
      <w:r>
        <w:rPr/>
        <w:t>– davlat hokimiyati va boshqaruv organlarining shaxs, jamiyat va davlat manfaatlari yo‘lida umummajburiy huquq normalarni qabul qilish, o‘zgartish va qo‘shimchalar kiritish orqali yanada takomillashtirish yoki bekor qilishga qaratilgan huquqiy </w:t>
      </w:r>
      <w:r>
        <w:rPr>
          <w:spacing w:val="-2"/>
        </w:rPr>
        <w:t>faoliyatdir.</w:t>
      </w:r>
    </w:p>
    <w:p>
      <w:pPr>
        <w:pStyle w:val="BodyText"/>
        <w:spacing w:before="43"/>
        <w:ind w:left="0" w:firstLine="0"/>
        <w:jc w:val="left"/>
      </w:pPr>
    </w:p>
    <w:p>
      <w:pPr>
        <w:pStyle w:val="Heading1"/>
        <w:spacing w:line="327" w:lineRule="exact"/>
        <w:ind w:left="4207" w:right="0"/>
        <w:jc w:val="left"/>
      </w:pPr>
      <w:r>
        <w:rPr>
          <w:color w:val="0C707A"/>
          <w:spacing w:val="-2"/>
        </w:rPr>
        <w:t>References:</w:t>
      </w:r>
    </w:p>
    <w:p>
      <w:pPr>
        <w:pStyle w:val="ListParagraph"/>
        <w:numPr>
          <w:ilvl w:val="0"/>
          <w:numId w:val="1"/>
        </w:numPr>
        <w:tabs>
          <w:tab w:pos="707" w:val="left" w:leader="none"/>
        </w:tabs>
        <w:spacing w:line="276" w:lineRule="auto" w:before="0" w:after="0"/>
        <w:ind w:left="140" w:right="141" w:firstLine="0"/>
        <w:jc w:val="left"/>
        <w:rPr>
          <w:sz w:val="24"/>
        </w:rPr>
      </w:pPr>
      <w:r>
        <w:rPr>
          <w:i/>
          <w:sz w:val="24"/>
        </w:rPr>
        <w:t>Odilqoriyev</w:t>
      </w:r>
      <w:r>
        <w:rPr>
          <w:i/>
          <w:spacing w:val="-3"/>
          <w:sz w:val="24"/>
        </w:rPr>
        <w:t> </w:t>
      </w:r>
      <w:r>
        <w:rPr>
          <w:i/>
          <w:sz w:val="24"/>
        </w:rPr>
        <w:t>H.T.,</w:t>
      </w:r>
      <w:r>
        <w:rPr>
          <w:i/>
          <w:spacing w:val="-3"/>
          <w:sz w:val="24"/>
        </w:rPr>
        <w:t> </w:t>
      </w:r>
      <w:r>
        <w:rPr>
          <w:i/>
          <w:sz w:val="24"/>
        </w:rPr>
        <w:t>Tulteyev</w:t>
      </w:r>
      <w:r>
        <w:rPr>
          <w:i/>
          <w:spacing w:val="-3"/>
          <w:sz w:val="24"/>
        </w:rPr>
        <w:t> </w:t>
      </w:r>
      <w:r>
        <w:rPr>
          <w:i/>
          <w:sz w:val="24"/>
        </w:rPr>
        <w:t>I.T.,</w:t>
      </w:r>
      <w:r>
        <w:rPr>
          <w:i/>
          <w:spacing w:val="-3"/>
          <w:sz w:val="24"/>
        </w:rPr>
        <w:t> </w:t>
      </w:r>
      <w:r>
        <w:rPr>
          <w:i/>
          <w:sz w:val="24"/>
        </w:rPr>
        <w:t>Azizov</w:t>
      </w:r>
      <w:r>
        <w:rPr>
          <w:i/>
          <w:spacing w:val="-3"/>
          <w:sz w:val="24"/>
        </w:rPr>
        <w:t> </w:t>
      </w:r>
      <w:r>
        <w:rPr>
          <w:i/>
          <w:sz w:val="24"/>
        </w:rPr>
        <w:t>N.P.</w:t>
      </w:r>
      <w:r>
        <w:rPr>
          <w:i/>
          <w:spacing w:val="-1"/>
          <w:sz w:val="24"/>
        </w:rPr>
        <w:t> </w:t>
      </w:r>
      <w:r>
        <w:rPr>
          <w:sz w:val="24"/>
        </w:rPr>
        <w:t>Davlat</w:t>
      </w:r>
      <w:r>
        <w:rPr>
          <w:spacing w:val="-3"/>
          <w:sz w:val="24"/>
        </w:rPr>
        <w:t> </w:t>
      </w:r>
      <w:r>
        <w:rPr>
          <w:sz w:val="24"/>
        </w:rPr>
        <w:t>va</w:t>
      </w:r>
      <w:r>
        <w:rPr>
          <w:spacing w:val="-3"/>
          <w:sz w:val="24"/>
        </w:rPr>
        <w:t> </w:t>
      </w:r>
      <w:r>
        <w:rPr>
          <w:sz w:val="24"/>
        </w:rPr>
        <w:t>huquq</w:t>
      </w:r>
      <w:r>
        <w:rPr>
          <w:spacing w:val="-3"/>
          <w:sz w:val="24"/>
        </w:rPr>
        <w:t> </w:t>
      </w:r>
      <w:r>
        <w:rPr>
          <w:sz w:val="24"/>
        </w:rPr>
        <w:t>nazariyasi:</w:t>
      </w:r>
      <w:r>
        <w:rPr>
          <w:spacing w:val="-3"/>
          <w:sz w:val="24"/>
        </w:rPr>
        <w:t> </w:t>
      </w:r>
      <w:r>
        <w:rPr>
          <w:sz w:val="24"/>
        </w:rPr>
        <w:t>Darslik. –</w:t>
      </w:r>
      <w:r>
        <w:rPr>
          <w:spacing w:val="-3"/>
          <w:sz w:val="24"/>
        </w:rPr>
        <w:t> </w:t>
      </w:r>
      <w:r>
        <w:rPr>
          <w:sz w:val="24"/>
        </w:rPr>
        <w:t>Toshkent, 2009. – B. 239.</w:t>
      </w:r>
    </w:p>
    <w:p>
      <w:pPr>
        <w:pStyle w:val="ListParagraph"/>
        <w:spacing w:after="0" w:line="276" w:lineRule="auto"/>
        <w:jc w:val="left"/>
        <w:rPr>
          <w:sz w:val="24"/>
        </w:rPr>
        <w:sectPr>
          <w:pgSz w:w="11910" w:h="16840"/>
          <w:pgMar w:header="0" w:footer="766" w:top="1680" w:bottom="960" w:left="992" w:right="992"/>
        </w:sectPr>
      </w:pPr>
    </w:p>
    <w:p>
      <w:pPr>
        <w:pStyle w:val="ListParagraph"/>
        <w:numPr>
          <w:ilvl w:val="0"/>
          <w:numId w:val="1"/>
        </w:numPr>
        <w:tabs>
          <w:tab w:pos="706" w:val="left" w:leader="none"/>
        </w:tabs>
        <w:spacing w:line="276" w:lineRule="auto" w:before="17" w:after="0"/>
        <w:ind w:left="140" w:right="136" w:firstLine="0"/>
        <w:jc w:val="both"/>
        <w:rPr>
          <w:sz w:val="24"/>
        </w:rPr>
      </w:pPr>
      <w:r>
        <w:rPr>
          <w:i/>
          <w:sz w:val="24"/>
        </w:rPr>
        <w:t>Xashimhonov A.M. </w:t>
      </w:r>
      <w:r>
        <w:rPr>
          <w:sz w:val="24"/>
        </w:rPr>
        <w:t>O‘zbekiston Respublikasi Vazirlar Mahkamasining huquq ijodkorlik faoliyati: nazariya va amaliyot masalalari: Yurid. fan. nomz</w:t>
      </w:r>
      <w:r>
        <w:rPr>
          <w:spacing w:val="74"/>
          <w:sz w:val="24"/>
        </w:rPr>
        <w:t>  </w:t>
      </w:r>
      <w:r>
        <w:rPr>
          <w:sz w:val="24"/>
        </w:rPr>
        <w:t>dis. avtoref.</w:t>
      </w:r>
      <w:r>
        <w:rPr>
          <w:spacing w:val="17"/>
          <w:sz w:val="24"/>
        </w:rPr>
        <w:t> </w:t>
      </w:r>
      <w:r>
        <w:rPr>
          <w:sz w:val="24"/>
        </w:rPr>
        <w:t>– Toshkent, 2008.</w:t>
      </w:r>
      <w:r>
        <w:rPr>
          <w:spacing w:val="14"/>
          <w:sz w:val="24"/>
        </w:rPr>
        <w:t> </w:t>
      </w:r>
      <w:r>
        <w:rPr>
          <w:sz w:val="24"/>
        </w:rPr>
        <w:t>–</w:t>
      </w:r>
    </w:p>
    <w:p>
      <w:pPr>
        <w:pStyle w:val="BodyText"/>
        <w:spacing w:before="1"/>
        <w:ind w:firstLine="0"/>
      </w:pPr>
      <w:r>
        <w:rPr/>
        <w:t>B.</w:t>
      </w:r>
      <w:r>
        <w:rPr>
          <w:spacing w:val="-1"/>
        </w:rPr>
        <w:t> </w:t>
      </w:r>
      <w:r>
        <w:rPr>
          <w:spacing w:val="-5"/>
        </w:rPr>
        <w:t>16.</w:t>
      </w:r>
    </w:p>
    <w:p>
      <w:pPr>
        <w:pStyle w:val="ListParagraph"/>
        <w:numPr>
          <w:ilvl w:val="0"/>
          <w:numId w:val="1"/>
        </w:numPr>
        <w:tabs>
          <w:tab w:pos="706" w:val="left" w:leader="none"/>
        </w:tabs>
        <w:spacing w:line="276" w:lineRule="auto" w:before="42" w:after="0"/>
        <w:ind w:left="140" w:right="141" w:firstLine="0"/>
        <w:jc w:val="both"/>
        <w:rPr>
          <w:sz w:val="24"/>
        </w:rPr>
      </w:pPr>
      <w:r>
        <w:rPr>
          <w:i/>
          <w:sz w:val="24"/>
        </w:rPr>
        <w:t>Наурызбаева Р.К. </w:t>
      </w:r>
      <w:r>
        <w:rPr>
          <w:sz w:val="24"/>
        </w:rPr>
        <w:t>Правотворческая деятельность Правительства Республики Казахстан:</w:t>
      </w:r>
      <w:r>
        <w:rPr>
          <w:spacing w:val="31"/>
          <w:sz w:val="24"/>
        </w:rPr>
        <w:t> </w:t>
      </w:r>
      <w:r>
        <w:rPr>
          <w:sz w:val="24"/>
        </w:rPr>
        <w:t>Автореф.</w:t>
      </w:r>
      <w:r>
        <w:rPr>
          <w:spacing w:val="35"/>
          <w:sz w:val="24"/>
        </w:rPr>
        <w:t> </w:t>
      </w:r>
      <w:r>
        <w:rPr>
          <w:sz w:val="24"/>
        </w:rPr>
        <w:t>дис.</w:t>
      </w:r>
      <w:r>
        <w:rPr>
          <w:spacing w:val="35"/>
          <w:sz w:val="24"/>
        </w:rPr>
        <w:t> </w:t>
      </w:r>
      <w:r>
        <w:rPr>
          <w:sz w:val="24"/>
        </w:rPr>
        <w:t>...канд.</w:t>
      </w:r>
      <w:r>
        <w:rPr>
          <w:spacing w:val="35"/>
          <w:sz w:val="24"/>
        </w:rPr>
        <w:t> </w:t>
      </w:r>
      <w:r>
        <w:rPr>
          <w:sz w:val="24"/>
        </w:rPr>
        <w:t>юрид.</w:t>
      </w:r>
      <w:r>
        <w:rPr>
          <w:spacing w:val="35"/>
          <w:sz w:val="24"/>
        </w:rPr>
        <w:t> </w:t>
      </w:r>
      <w:r>
        <w:rPr>
          <w:sz w:val="24"/>
        </w:rPr>
        <w:t>наук.</w:t>
      </w:r>
      <w:r>
        <w:rPr>
          <w:spacing w:val="39"/>
          <w:sz w:val="24"/>
        </w:rPr>
        <w:t> </w:t>
      </w:r>
      <w:r>
        <w:rPr>
          <w:sz w:val="24"/>
        </w:rPr>
        <w:t>–</w:t>
      </w:r>
      <w:r>
        <w:rPr>
          <w:spacing w:val="35"/>
          <w:sz w:val="24"/>
        </w:rPr>
        <w:t> </w:t>
      </w:r>
      <w:r>
        <w:rPr>
          <w:sz w:val="24"/>
        </w:rPr>
        <w:t>Алматы,</w:t>
      </w:r>
      <w:r>
        <w:rPr>
          <w:spacing w:val="35"/>
          <w:sz w:val="24"/>
        </w:rPr>
        <w:t> </w:t>
      </w:r>
      <w:r>
        <w:rPr>
          <w:sz w:val="24"/>
        </w:rPr>
        <w:t>1995.</w:t>
      </w:r>
      <w:r>
        <w:rPr>
          <w:spacing w:val="36"/>
          <w:sz w:val="24"/>
        </w:rPr>
        <w:t> </w:t>
      </w:r>
      <w:r>
        <w:rPr>
          <w:sz w:val="24"/>
        </w:rPr>
        <w:t>–</w:t>
      </w:r>
      <w:r>
        <w:rPr>
          <w:spacing w:val="36"/>
          <w:sz w:val="24"/>
        </w:rPr>
        <w:t> </w:t>
      </w:r>
      <w:r>
        <w:rPr>
          <w:sz w:val="24"/>
        </w:rPr>
        <w:t>С.</w:t>
      </w:r>
      <w:r>
        <w:rPr>
          <w:spacing w:val="35"/>
          <w:sz w:val="24"/>
        </w:rPr>
        <w:t> </w:t>
      </w:r>
      <w:r>
        <w:rPr>
          <w:sz w:val="24"/>
        </w:rPr>
        <w:t>12–13;</w:t>
      </w:r>
      <w:r>
        <w:rPr>
          <w:spacing w:val="34"/>
          <w:sz w:val="24"/>
        </w:rPr>
        <w:t> </w:t>
      </w:r>
      <w:r>
        <w:rPr>
          <w:spacing w:val="-2"/>
          <w:sz w:val="24"/>
        </w:rPr>
        <w:t>Xashimhonov</w:t>
      </w:r>
    </w:p>
    <w:p>
      <w:pPr>
        <w:pStyle w:val="BodyText"/>
        <w:spacing w:line="273" w:lineRule="auto" w:before="1"/>
        <w:ind w:right="148" w:firstLine="0"/>
      </w:pPr>
      <w:r>
        <w:rPr/>
        <w:t>A.M. O‘zbekiston Respublikasi Vazirlar Mahkamasining huquq ijodkorlik faoliyati: nazariya va amaliyot masalalari: Yurid. fan. nomz. ...dis. avtoref. – Toshkent, 2008. – B. 11.</w:t>
      </w:r>
    </w:p>
    <w:p>
      <w:pPr>
        <w:pStyle w:val="ListParagraph"/>
        <w:numPr>
          <w:ilvl w:val="0"/>
          <w:numId w:val="1"/>
        </w:numPr>
        <w:tabs>
          <w:tab w:pos="706" w:val="left" w:leader="none"/>
        </w:tabs>
        <w:spacing w:line="276" w:lineRule="auto" w:before="4" w:after="0"/>
        <w:ind w:left="140" w:right="141" w:firstLine="0"/>
        <w:jc w:val="both"/>
        <w:rPr>
          <w:sz w:val="24"/>
        </w:rPr>
      </w:pPr>
      <w:r>
        <w:rPr>
          <w:i/>
          <w:sz w:val="24"/>
        </w:rPr>
        <w:t>Рудкин Ю.Д. </w:t>
      </w:r>
      <w:r>
        <w:rPr>
          <w:sz w:val="24"/>
        </w:rPr>
        <w:t>Правотворческие производства: природа, структура, разновидности: Автореф. дис. ...канд.юр.наук. – Харковь. 1984. – С. 6–7.</w:t>
      </w:r>
    </w:p>
    <w:p>
      <w:pPr>
        <w:pStyle w:val="ListParagraph"/>
        <w:numPr>
          <w:ilvl w:val="0"/>
          <w:numId w:val="1"/>
        </w:numPr>
        <w:tabs>
          <w:tab w:pos="706" w:val="left" w:leader="none"/>
        </w:tabs>
        <w:spacing w:line="276" w:lineRule="auto" w:before="1" w:after="0"/>
        <w:ind w:left="140" w:right="136" w:firstLine="0"/>
        <w:jc w:val="both"/>
        <w:rPr>
          <w:sz w:val="24"/>
        </w:rPr>
      </w:pPr>
      <w:r>
        <w:rPr>
          <w:i/>
          <w:sz w:val="24"/>
        </w:rPr>
        <w:t>Xashimhonov A.M. </w:t>
      </w:r>
      <w:r>
        <w:rPr>
          <w:sz w:val="24"/>
        </w:rPr>
        <w:t>O‘zbekiston Respublikasi Vazirlar Mahkamasining huquq ijodkorlik faoliyati: nazariya va amaliyot masalalari: Yurid. fan. nomz. ...dis. avtoref. – Toshkent, 2008. – </w:t>
      </w:r>
      <w:r>
        <w:rPr>
          <w:spacing w:val="-2"/>
          <w:sz w:val="24"/>
        </w:rPr>
        <w:t>B.26.</w:t>
      </w:r>
    </w:p>
    <w:p>
      <w:pPr>
        <w:pStyle w:val="ListParagraph"/>
        <w:numPr>
          <w:ilvl w:val="0"/>
          <w:numId w:val="1"/>
        </w:numPr>
        <w:tabs>
          <w:tab w:pos="706" w:val="left" w:leader="none"/>
        </w:tabs>
        <w:spacing w:line="276" w:lineRule="auto" w:before="0" w:after="0"/>
        <w:ind w:left="140" w:right="142" w:firstLine="0"/>
        <w:jc w:val="both"/>
        <w:rPr>
          <w:sz w:val="24"/>
        </w:rPr>
      </w:pPr>
      <w:r>
        <w:rPr>
          <w:i/>
          <w:sz w:val="24"/>
        </w:rPr>
        <w:t>Наурызбаева Р.К. </w:t>
      </w:r>
      <w:r>
        <w:rPr>
          <w:sz w:val="24"/>
        </w:rPr>
        <w:t>Правотворческая деятельность Правительства Республики Казахстан: Автореф. дис. ...канд. юрид. наук. – Алматы, 1995. – С. 6-7.</w:t>
      </w:r>
    </w:p>
    <w:p>
      <w:pPr>
        <w:pStyle w:val="ListParagraph"/>
        <w:numPr>
          <w:ilvl w:val="0"/>
          <w:numId w:val="1"/>
        </w:numPr>
        <w:tabs>
          <w:tab w:pos="706" w:val="left" w:leader="none"/>
        </w:tabs>
        <w:spacing w:line="276" w:lineRule="auto" w:before="0" w:after="0"/>
        <w:ind w:left="140" w:right="139" w:firstLine="0"/>
        <w:jc w:val="both"/>
        <w:rPr>
          <w:sz w:val="24"/>
        </w:rPr>
      </w:pPr>
      <w:r>
        <w:rPr>
          <w:i/>
          <w:sz w:val="24"/>
        </w:rPr>
        <w:t>Izoh: </w:t>
      </w:r>
      <w:r>
        <w:rPr>
          <w:sz w:val="24"/>
        </w:rPr>
        <w:t>Qoraqalpog‘iston Respublikasi Konstitutsiyasining 90-moddasiga muvofiq, Qoraqalpog‘iston Respublikasi Vazirlar Kengashi qonun hujjatlar asosida va ularni ijro etib, Qoraqalpog‘iston Respublikasining barcha hududida ijro qilinishi shart bo‘lgan qarorlar va farmoyishlar qabul qiladi. Shu bilan birga, Qoraqalpog‘iston Respublikasi Vazirlar Kengashining Reglamentiga muvofiq, Qoraqalpog‘iston Respublikasi Vazirlar Kengashining tezkor va boshqa joriy masalalar bo‘yicha qarorlari Vazirlar Kengashi Raisining farmoyishlari shaklida qabul qilinadi; Qoraqalpog‘iston Respublikasining 1998-yil 29-yanvardagi «Mahalliy davlat hokimiyat to‘g‘risida»gi qonunning 5-moddasiga muvofiq, shahar va tuman hokimlari qarorlar</w:t>
      </w:r>
      <w:r>
        <w:rPr>
          <w:spacing w:val="-3"/>
          <w:sz w:val="24"/>
        </w:rPr>
        <w:t> </w:t>
      </w:r>
      <w:r>
        <w:rPr>
          <w:sz w:val="24"/>
        </w:rPr>
        <w:t>va</w:t>
      </w:r>
      <w:r>
        <w:rPr>
          <w:spacing w:val="-3"/>
          <w:sz w:val="24"/>
        </w:rPr>
        <w:t> </w:t>
      </w:r>
      <w:r>
        <w:rPr>
          <w:sz w:val="24"/>
        </w:rPr>
        <w:t>farmoyishlar</w:t>
      </w:r>
      <w:r>
        <w:rPr>
          <w:spacing w:val="-3"/>
          <w:sz w:val="24"/>
        </w:rPr>
        <w:t> </w:t>
      </w:r>
      <w:r>
        <w:rPr>
          <w:sz w:val="24"/>
        </w:rPr>
        <w:t>qabul</w:t>
      </w:r>
      <w:r>
        <w:rPr>
          <w:spacing w:val="-3"/>
          <w:sz w:val="24"/>
        </w:rPr>
        <w:t> </w:t>
      </w:r>
      <w:r>
        <w:rPr>
          <w:sz w:val="24"/>
        </w:rPr>
        <w:t>qiladi.</w:t>
      </w:r>
      <w:r>
        <w:rPr>
          <w:spacing w:val="-1"/>
          <w:sz w:val="24"/>
        </w:rPr>
        <w:t> </w:t>
      </w:r>
      <w:r>
        <w:rPr>
          <w:sz w:val="24"/>
        </w:rPr>
        <w:t>//</w:t>
      </w:r>
      <w:r>
        <w:rPr>
          <w:spacing w:val="-3"/>
          <w:sz w:val="24"/>
        </w:rPr>
        <w:t> </w:t>
      </w:r>
      <w:r>
        <w:rPr>
          <w:sz w:val="24"/>
        </w:rPr>
        <w:t>URL –</w:t>
      </w:r>
      <w:r>
        <w:rPr>
          <w:spacing w:val="-5"/>
          <w:sz w:val="24"/>
        </w:rPr>
        <w:t> </w:t>
      </w:r>
      <w:hyperlink r:id="rId9">
        <w:r>
          <w:rPr>
            <w:sz w:val="24"/>
          </w:rPr>
          <w:t>http://sovminrk.gov.uz/uz/pages/show/6194</w:t>
        </w:r>
      </w:hyperlink>
    </w:p>
    <w:p>
      <w:pPr>
        <w:pStyle w:val="ListParagraph"/>
        <w:numPr>
          <w:ilvl w:val="0"/>
          <w:numId w:val="1"/>
        </w:numPr>
        <w:tabs>
          <w:tab w:pos="706" w:val="left" w:leader="none"/>
        </w:tabs>
        <w:spacing w:line="281" w:lineRule="exact" w:before="0" w:after="0"/>
        <w:ind w:left="706" w:right="0" w:hanging="566"/>
        <w:jc w:val="both"/>
        <w:rPr>
          <w:sz w:val="24"/>
        </w:rPr>
      </w:pPr>
      <w:r>
        <w:rPr>
          <w:i/>
          <w:sz w:val="24"/>
        </w:rPr>
        <w:t>Слесарева</w:t>
      </w:r>
      <w:r>
        <w:rPr>
          <w:i/>
          <w:spacing w:val="18"/>
          <w:sz w:val="24"/>
        </w:rPr>
        <w:t> </w:t>
      </w:r>
      <w:r>
        <w:rPr>
          <w:i/>
          <w:sz w:val="24"/>
        </w:rPr>
        <w:t>Е.С.</w:t>
      </w:r>
      <w:r>
        <w:rPr>
          <w:i/>
          <w:spacing w:val="22"/>
          <w:sz w:val="24"/>
        </w:rPr>
        <w:t> </w:t>
      </w:r>
      <w:r>
        <w:rPr>
          <w:sz w:val="24"/>
        </w:rPr>
        <w:t>Индивидуальные</w:t>
      </w:r>
      <w:r>
        <w:rPr>
          <w:spacing w:val="21"/>
          <w:sz w:val="24"/>
        </w:rPr>
        <w:t> </w:t>
      </w:r>
      <w:r>
        <w:rPr>
          <w:sz w:val="24"/>
        </w:rPr>
        <w:t>акты</w:t>
      </w:r>
      <w:r>
        <w:rPr>
          <w:spacing w:val="21"/>
          <w:sz w:val="24"/>
        </w:rPr>
        <w:t> </w:t>
      </w:r>
      <w:r>
        <w:rPr>
          <w:sz w:val="24"/>
        </w:rPr>
        <w:t>управления:</w:t>
      </w:r>
      <w:r>
        <w:rPr>
          <w:spacing w:val="19"/>
          <w:sz w:val="24"/>
        </w:rPr>
        <w:t> </w:t>
      </w:r>
      <w:r>
        <w:rPr>
          <w:sz w:val="24"/>
        </w:rPr>
        <w:t>Автореф.</w:t>
      </w:r>
      <w:r>
        <w:rPr>
          <w:spacing w:val="21"/>
          <w:sz w:val="24"/>
        </w:rPr>
        <w:t> </w:t>
      </w:r>
      <w:r>
        <w:rPr>
          <w:sz w:val="24"/>
        </w:rPr>
        <w:t>дис.</w:t>
      </w:r>
      <w:r>
        <w:rPr>
          <w:rFonts w:ascii="Times New Roman" w:hAnsi="Times New Roman"/>
          <w:spacing w:val="49"/>
          <w:sz w:val="24"/>
        </w:rPr>
        <w:t>  </w:t>
      </w:r>
      <w:r>
        <w:rPr>
          <w:sz w:val="24"/>
        </w:rPr>
        <w:t>канд.</w:t>
      </w:r>
      <w:r>
        <w:rPr>
          <w:spacing w:val="22"/>
          <w:sz w:val="24"/>
        </w:rPr>
        <w:t> </w:t>
      </w:r>
      <w:r>
        <w:rPr>
          <w:sz w:val="24"/>
        </w:rPr>
        <w:t>наук.</w:t>
      </w:r>
      <w:r>
        <w:rPr>
          <w:spacing w:val="22"/>
          <w:sz w:val="24"/>
        </w:rPr>
        <w:t> </w:t>
      </w:r>
      <w:r>
        <w:rPr>
          <w:sz w:val="24"/>
        </w:rPr>
        <w:t>–</w:t>
      </w:r>
      <w:r>
        <w:rPr>
          <w:spacing w:val="-5"/>
          <w:sz w:val="24"/>
        </w:rPr>
        <w:t>М.,</w:t>
      </w:r>
    </w:p>
    <w:p>
      <w:pPr>
        <w:pStyle w:val="BodyText"/>
        <w:spacing w:before="43"/>
        <w:ind w:firstLine="0"/>
      </w:pPr>
      <w:r>
        <w:rPr/>
        <w:t>1984.</w:t>
      </w:r>
      <w:r>
        <w:rPr>
          <w:spacing w:val="-1"/>
        </w:rPr>
        <w:t> </w:t>
      </w:r>
      <w:r>
        <w:rPr/>
        <w:t>–С.</w:t>
      </w:r>
      <w:r>
        <w:rPr>
          <w:spacing w:val="-1"/>
        </w:rPr>
        <w:t> </w:t>
      </w:r>
      <w:r>
        <w:rPr>
          <w:spacing w:val="-5"/>
        </w:rPr>
        <w:t>13.</w:t>
      </w:r>
    </w:p>
    <w:p>
      <w:pPr>
        <w:pStyle w:val="ListParagraph"/>
        <w:numPr>
          <w:ilvl w:val="0"/>
          <w:numId w:val="1"/>
        </w:numPr>
        <w:tabs>
          <w:tab w:pos="706" w:val="left" w:leader="none"/>
        </w:tabs>
        <w:spacing w:line="276" w:lineRule="auto" w:before="43" w:after="0"/>
        <w:ind w:left="140" w:right="138" w:firstLine="0"/>
        <w:jc w:val="both"/>
        <w:rPr>
          <w:sz w:val="24"/>
        </w:rPr>
      </w:pPr>
      <w:r>
        <w:rPr>
          <w:i/>
          <w:sz w:val="24"/>
        </w:rPr>
        <w:t>Рудкин Ю.Д. </w:t>
      </w:r>
      <w:r>
        <w:rPr>
          <w:sz w:val="24"/>
        </w:rPr>
        <w:t>Правотворческие производства: природа, структура, разновидности: Автореф. дис. ...канд. юрид. наук. – Харьков, 1984. – С. 9-10. // </w:t>
      </w:r>
      <w:r>
        <w:rPr>
          <w:i/>
          <w:sz w:val="24"/>
        </w:rPr>
        <w:t>Xashimhonov A.M. </w:t>
      </w:r>
      <w:r>
        <w:rPr>
          <w:sz w:val="24"/>
        </w:rPr>
        <w:t>O‘zbekiston Respublikasi Vazirlar Mahkamasining huquq ijodkorlik faoliyati: nazariya va amaliyot masalalari: Yurid. fan. nomz. ...dis. – Toshkent, 2008. – B.27.</w:t>
      </w:r>
    </w:p>
    <w:p>
      <w:pPr>
        <w:pStyle w:val="ListParagraph"/>
        <w:numPr>
          <w:ilvl w:val="0"/>
          <w:numId w:val="1"/>
        </w:numPr>
        <w:tabs>
          <w:tab w:pos="706" w:val="left" w:leader="none"/>
        </w:tabs>
        <w:spacing w:line="276" w:lineRule="auto" w:before="0" w:after="0"/>
        <w:ind w:left="140" w:right="136" w:firstLine="0"/>
        <w:jc w:val="both"/>
        <w:rPr>
          <w:sz w:val="24"/>
        </w:rPr>
      </w:pPr>
      <w:r>
        <w:rPr>
          <w:i/>
          <w:sz w:val="24"/>
        </w:rPr>
        <w:t>Xashimhonov A.M. </w:t>
      </w:r>
      <w:r>
        <w:rPr>
          <w:sz w:val="24"/>
        </w:rPr>
        <w:t>O‘zbekiston Respublikasi Vazirlar Mahkamasining huquq ijodkorlik faoliyati: nazariya va amaliyot masalalari: Yurid. fan. nomz. ...dis. avtoref. – Toshkent, 2008. – </w:t>
      </w:r>
      <w:r>
        <w:rPr>
          <w:spacing w:val="-2"/>
          <w:sz w:val="24"/>
        </w:rPr>
        <w:t>B.27.</w:t>
      </w:r>
    </w:p>
    <w:p>
      <w:pPr>
        <w:pStyle w:val="ListParagraph"/>
        <w:numPr>
          <w:ilvl w:val="0"/>
          <w:numId w:val="1"/>
        </w:numPr>
        <w:tabs>
          <w:tab w:pos="706" w:val="left" w:leader="none"/>
        </w:tabs>
        <w:spacing w:line="240" w:lineRule="auto" w:before="0" w:after="0"/>
        <w:ind w:left="706" w:right="0" w:hanging="566"/>
        <w:jc w:val="both"/>
        <w:rPr>
          <w:sz w:val="24"/>
        </w:rPr>
      </w:pPr>
      <w:r>
        <w:rPr>
          <w:i/>
          <w:sz w:val="24"/>
        </w:rPr>
        <w:t>Поленина</w:t>
      </w:r>
      <w:r>
        <w:rPr>
          <w:i/>
          <w:spacing w:val="-6"/>
          <w:sz w:val="24"/>
        </w:rPr>
        <w:t> </w:t>
      </w:r>
      <w:r>
        <w:rPr>
          <w:i/>
          <w:sz w:val="24"/>
        </w:rPr>
        <w:t>С.В.</w:t>
      </w:r>
      <w:r>
        <w:rPr>
          <w:i/>
          <w:spacing w:val="-1"/>
          <w:sz w:val="24"/>
        </w:rPr>
        <w:t> </w:t>
      </w:r>
      <w:r>
        <w:rPr>
          <w:sz w:val="24"/>
        </w:rPr>
        <w:t>Законотворчество</w:t>
      </w:r>
      <w:r>
        <w:rPr>
          <w:spacing w:val="-3"/>
          <w:sz w:val="24"/>
        </w:rPr>
        <w:t> </w:t>
      </w:r>
      <w:r>
        <w:rPr>
          <w:sz w:val="24"/>
        </w:rPr>
        <w:t>в</w:t>
      </w:r>
      <w:r>
        <w:rPr>
          <w:spacing w:val="-3"/>
          <w:sz w:val="24"/>
        </w:rPr>
        <w:t> </w:t>
      </w:r>
      <w:r>
        <w:rPr>
          <w:sz w:val="24"/>
        </w:rPr>
        <w:t>Российской</w:t>
      </w:r>
      <w:r>
        <w:rPr>
          <w:spacing w:val="-4"/>
          <w:sz w:val="24"/>
        </w:rPr>
        <w:t> </w:t>
      </w:r>
      <w:r>
        <w:rPr>
          <w:sz w:val="24"/>
        </w:rPr>
        <w:t>Федерации.</w:t>
      </w:r>
      <w:r>
        <w:rPr>
          <w:spacing w:val="1"/>
          <w:sz w:val="24"/>
        </w:rPr>
        <w:t> </w:t>
      </w:r>
      <w:r>
        <w:rPr>
          <w:sz w:val="24"/>
        </w:rPr>
        <w:t>–</w:t>
      </w:r>
      <w:r>
        <w:rPr>
          <w:spacing w:val="-4"/>
          <w:sz w:val="24"/>
        </w:rPr>
        <w:t> </w:t>
      </w:r>
      <w:r>
        <w:rPr>
          <w:sz w:val="24"/>
        </w:rPr>
        <w:t>М.,</w:t>
      </w:r>
      <w:r>
        <w:rPr>
          <w:spacing w:val="-2"/>
          <w:sz w:val="24"/>
        </w:rPr>
        <w:t> </w:t>
      </w:r>
      <w:r>
        <w:rPr>
          <w:sz w:val="24"/>
        </w:rPr>
        <w:t>1996.</w:t>
      </w:r>
      <w:r>
        <w:rPr>
          <w:spacing w:val="-1"/>
          <w:sz w:val="24"/>
        </w:rPr>
        <w:t> </w:t>
      </w:r>
      <w:r>
        <w:rPr>
          <w:sz w:val="24"/>
        </w:rPr>
        <w:t>–</w:t>
      </w:r>
      <w:r>
        <w:rPr>
          <w:spacing w:val="-3"/>
          <w:sz w:val="24"/>
        </w:rPr>
        <w:t> </w:t>
      </w:r>
      <w:r>
        <w:rPr>
          <w:sz w:val="24"/>
        </w:rPr>
        <w:t>С.</w:t>
      </w:r>
      <w:r>
        <w:rPr>
          <w:spacing w:val="-2"/>
          <w:sz w:val="24"/>
        </w:rPr>
        <w:t> </w:t>
      </w:r>
      <w:r>
        <w:rPr>
          <w:spacing w:val="-5"/>
          <w:sz w:val="24"/>
        </w:rPr>
        <w:t>26.</w:t>
      </w:r>
    </w:p>
    <w:p>
      <w:pPr>
        <w:pStyle w:val="ListParagraph"/>
        <w:numPr>
          <w:ilvl w:val="0"/>
          <w:numId w:val="1"/>
        </w:numPr>
        <w:tabs>
          <w:tab w:pos="706" w:val="left" w:leader="none"/>
        </w:tabs>
        <w:spacing w:line="240" w:lineRule="auto" w:before="43" w:after="0"/>
        <w:ind w:left="706" w:right="0" w:hanging="566"/>
        <w:jc w:val="both"/>
        <w:rPr>
          <w:sz w:val="24"/>
        </w:rPr>
      </w:pPr>
      <w:r>
        <w:rPr>
          <w:sz w:val="24"/>
        </w:rPr>
        <w:t>Общая</w:t>
      </w:r>
      <w:r>
        <w:rPr>
          <w:spacing w:val="-4"/>
          <w:sz w:val="24"/>
        </w:rPr>
        <w:t> </w:t>
      </w:r>
      <w:r>
        <w:rPr>
          <w:sz w:val="24"/>
        </w:rPr>
        <w:t>теория</w:t>
      </w:r>
      <w:r>
        <w:rPr>
          <w:spacing w:val="-2"/>
          <w:sz w:val="24"/>
        </w:rPr>
        <w:t> </w:t>
      </w:r>
      <w:r>
        <w:rPr>
          <w:sz w:val="24"/>
        </w:rPr>
        <w:t>государства</w:t>
      </w:r>
      <w:r>
        <w:rPr>
          <w:spacing w:val="-3"/>
          <w:sz w:val="24"/>
        </w:rPr>
        <w:t> </w:t>
      </w:r>
      <w:r>
        <w:rPr>
          <w:sz w:val="24"/>
        </w:rPr>
        <w:t>и</w:t>
      </w:r>
      <w:r>
        <w:rPr>
          <w:spacing w:val="-3"/>
          <w:sz w:val="24"/>
        </w:rPr>
        <w:t> </w:t>
      </w:r>
      <w:r>
        <w:rPr>
          <w:sz w:val="24"/>
        </w:rPr>
        <w:t>права.</w:t>
      </w:r>
      <w:r>
        <w:rPr>
          <w:spacing w:val="-1"/>
          <w:sz w:val="24"/>
        </w:rPr>
        <w:t> </w:t>
      </w:r>
      <w:r>
        <w:rPr>
          <w:sz w:val="24"/>
        </w:rPr>
        <w:t>Академический</w:t>
      </w:r>
      <w:r>
        <w:rPr>
          <w:spacing w:val="-3"/>
          <w:sz w:val="24"/>
        </w:rPr>
        <w:t> </w:t>
      </w:r>
      <w:r>
        <w:rPr>
          <w:sz w:val="24"/>
        </w:rPr>
        <w:t>курс.</w:t>
      </w:r>
      <w:r>
        <w:rPr>
          <w:spacing w:val="-1"/>
          <w:sz w:val="24"/>
        </w:rPr>
        <w:t> </w:t>
      </w:r>
      <w:r>
        <w:rPr>
          <w:sz w:val="24"/>
        </w:rPr>
        <w:t>Т.</w:t>
      </w:r>
      <w:r>
        <w:rPr>
          <w:spacing w:val="-3"/>
          <w:sz w:val="24"/>
        </w:rPr>
        <w:t> </w:t>
      </w:r>
      <w:r>
        <w:rPr>
          <w:sz w:val="24"/>
        </w:rPr>
        <w:t>2.</w:t>
      </w:r>
      <w:r>
        <w:rPr>
          <w:spacing w:val="1"/>
          <w:sz w:val="24"/>
        </w:rPr>
        <w:t> </w:t>
      </w:r>
      <w:r>
        <w:rPr>
          <w:sz w:val="24"/>
        </w:rPr>
        <w:t>–</w:t>
      </w:r>
      <w:r>
        <w:rPr>
          <w:spacing w:val="-3"/>
          <w:sz w:val="24"/>
        </w:rPr>
        <w:t> </w:t>
      </w:r>
      <w:r>
        <w:rPr>
          <w:sz w:val="24"/>
        </w:rPr>
        <w:t>М.,</w:t>
      </w:r>
      <w:r>
        <w:rPr>
          <w:spacing w:val="-4"/>
          <w:sz w:val="24"/>
        </w:rPr>
        <w:t> </w:t>
      </w:r>
      <w:r>
        <w:rPr>
          <w:sz w:val="24"/>
        </w:rPr>
        <w:t>1998. –</w:t>
      </w:r>
      <w:r>
        <w:rPr>
          <w:spacing w:val="-3"/>
          <w:sz w:val="24"/>
        </w:rPr>
        <w:t> </w:t>
      </w:r>
      <w:r>
        <w:rPr>
          <w:sz w:val="24"/>
        </w:rPr>
        <w:t>С.</w:t>
      </w:r>
      <w:r>
        <w:rPr>
          <w:spacing w:val="-1"/>
          <w:sz w:val="24"/>
        </w:rPr>
        <w:t> </w:t>
      </w:r>
      <w:r>
        <w:rPr>
          <w:spacing w:val="-4"/>
          <w:sz w:val="24"/>
        </w:rPr>
        <w:t>157.</w:t>
      </w:r>
    </w:p>
    <w:sectPr>
      <w:pgSz w:w="11910" w:h="16840"/>
      <w:pgMar w:header="0" w:footer="766" w:top="1680" w:bottom="96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498240">
              <wp:simplePos x="0" y="0"/>
              <wp:positionH relativeFrom="page">
                <wp:posOffset>701040</wp:posOffset>
              </wp:positionH>
              <wp:positionV relativeFrom="page">
                <wp:posOffset>10079431</wp:posOffset>
              </wp:positionV>
              <wp:extent cx="6158230" cy="16319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58230" cy="163195"/>
                      </a:xfrm>
                      <a:custGeom>
                        <a:avLst/>
                        <a:gdLst/>
                        <a:ahLst/>
                        <a:cxnLst/>
                        <a:rect l="l" t="t" r="r" b="b"/>
                        <a:pathLst>
                          <a:path w="6158230" h="163195">
                            <a:moveTo>
                              <a:pt x="6158230" y="0"/>
                            </a:moveTo>
                            <a:lnTo>
                              <a:pt x="0" y="0"/>
                            </a:lnTo>
                            <a:lnTo>
                              <a:pt x="0" y="163068"/>
                            </a:lnTo>
                            <a:lnTo>
                              <a:pt x="6158230" y="163068"/>
                            </a:lnTo>
                            <a:lnTo>
                              <a:pt x="6158230" y="0"/>
                            </a:lnTo>
                            <a:close/>
                          </a:path>
                        </a:pathLst>
                      </a:custGeom>
                      <a:solidFill>
                        <a:srgbClr val="0C707A"/>
                      </a:solidFill>
                    </wps:spPr>
                    <wps:bodyPr wrap="square" lIns="0" tIns="0" rIns="0" bIns="0" rtlCol="0">
                      <a:prstTxWarp prst="textNoShape">
                        <a:avLst/>
                      </a:prstTxWarp>
                      <a:noAutofit/>
                    </wps:bodyPr>
                  </wps:wsp>
                </a:graphicData>
              </a:graphic>
            </wp:anchor>
          </w:drawing>
        </mc:Choice>
        <mc:Fallback>
          <w:pict>
            <v:rect style="position:absolute;margin-left:55.200001pt;margin-top:793.656006pt;width:484.9pt;height:12.84pt;mso-position-horizontal-relative:page;mso-position-vertical-relative:page;z-index:-15818240" id="docshape7" filled="true" fillcolor="#0c707a" stroked="false">
              <v:fill type="solid"/>
              <w10:wrap type="none"/>
            </v:rect>
          </w:pict>
        </mc:Fallback>
      </mc:AlternateContent>
    </w:r>
    <w:r>
      <w:rPr>
        <w:sz w:val="20"/>
      </w:rPr>
      <mc:AlternateContent>
        <mc:Choice Requires="wps">
          <w:drawing>
            <wp:anchor distT="0" distB="0" distL="0" distR="0" allowOverlap="1" layoutInCell="1" locked="0" behindDoc="1" simplePos="0" relativeHeight="487498752">
              <wp:simplePos x="0" y="0"/>
              <wp:positionH relativeFrom="page">
                <wp:posOffset>706627</wp:posOffset>
              </wp:positionH>
              <wp:positionV relativeFrom="page">
                <wp:posOffset>10066094</wp:posOffset>
              </wp:positionV>
              <wp:extent cx="1821180" cy="1898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821180" cy="189865"/>
                      </a:xfrm>
                      <a:prstGeom prst="rect">
                        <a:avLst/>
                      </a:prstGeom>
                    </wps:spPr>
                    <wps:txbx>
                      <w:txbxContent>
                        <w:p>
                          <w:pPr>
                            <w:spacing w:before="20"/>
                            <w:ind w:left="20" w:right="0" w:firstLine="0"/>
                            <w:jc w:val="left"/>
                            <w:rPr>
                              <w:sz w:val="22"/>
                            </w:rPr>
                          </w:pPr>
                          <w:r>
                            <w:rPr>
                              <w:color w:val="FFFFFF"/>
                              <w:sz w:val="22"/>
                            </w:rPr>
                            <w:t>Volume</w:t>
                          </w:r>
                          <w:r>
                            <w:rPr>
                              <w:color w:val="FFFFFF"/>
                              <w:spacing w:val="-5"/>
                              <w:sz w:val="22"/>
                            </w:rPr>
                            <w:t> </w:t>
                          </w:r>
                          <w:r>
                            <w:rPr>
                              <w:color w:val="FFFFFF"/>
                              <w:sz w:val="22"/>
                            </w:rPr>
                            <w:t>3</w:t>
                          </w:r>
                          <w:r>
                            <w:rPr>
                              <w:color w:val="FFFFFF"/>
                              <w:spacing w:val="-3"/>
                              <w:sz w:val="22"/>
                            </w:rPr>
                            <w:t> </w:t>
                          </w:r>
                          <w:r>
                            <w:rPr>
                              <w:color w:val="FFFFFF"/>
                              <w:sz w:val="22"/>
                            </w:rPr>
                            <w:t>Issue</w:t>
                          </w:r>
                          <w:r>
                            <w:rPr>
                              <w:color w:val="FFFFFF"/>
                              <w:spacing w:val="-2"/>
                              <w:sz w:val="22"/>
                            </w:rPr>
                            <w:t> </w:t>
                          </w:r>
                          <w:r>
                            <w:rPr>
                              <w:color w:val="FFFFFF"/>
                              <w:sz w:val="22"/>
                            </w:rPr>
                            <w:t>3,</w:t>
                          </w:r>
                          <w:r>
                            <w:rPr>
                              <w:color w:val="FFFFFF"/>
                              <w:spacing w:val="-3"/>
                              <w:sz w:val="22"/>
                            </w:rPr>
                            <w:t> </w:t>
                          </w:r>
                          <w:r>
                            <w:rPr>
                              <w:color w:val="FFFFFF"/>
                              <w:sz w:val="22"/>
                            </w:rPr>
                            <w:t>March</w:t>
                          </w:r>
                          <w:r>
                            <w:rPr>
                              <w:color w:val="FFFFFF"/>
                              <w:spacing w:val="-5"/>
                              <w:sz w:val="22"/>
                            </w:rPr>
                            <w:t> </w:t>
                          </w:r>
                          <w:r>
                            <w:rPr>
                              <w:color w:val="FFFFFF"/>
                              <w:spacing w:val="-4"/>
                              <w:sz w:val="22"/>
                            </w:rPr>
                            <w:t>2025</w:t>
                          </w:r>
                        </w:p>
                      </w:txbxContent>
                    </wps:txbx>
                    <wps:bodyPr wrap="square" lIns="0" tIns="0" rIns="0" bIns="0" rtlCol="0">
                      <a:noAutofit/>
                    </wps:bodyPr>
                  </wps:wsp>
                </a:graphicData>
              </a:graphic>
            </wp:anchor>
          </w:drawing>
        </mc:Choice>
        <mc:Fallback>
          <w:pict>
            <v:shape style="position:absolute;margin-left:55.639999pt;margin-top:792.605835pt;width:143.4pt;height:14.95pt;mso-position-horizontal-relative:page;mso-position-vertical-relative:page;z-index:-15817728" type="#_x0000_t202" id="docshape8" filled="false" stroked="false">
              <v:textbox inset="0,0,0,0">
                <w:txbxContent>
                  <w:p>
                    <w:pPr>
                      <w:spacing w:before="20"/>
                      <w:ind w:left="20" w:right="0" w:firstLine="0"/>
                      <w:jc w:val="left"/>
                      <w:rPr>
                        <w:sz w:val="22"/>
                      </w:rPr>
                    </w:pPr>
                    <w:r>
                      <w:rPr>
                        <w:color w:val="FFFFFF"/>
                        <w:sz w:val="22"/>
                      </w:rPr>
                      <w:t>Volume</w:t>
                    </w:r>
                    <w:r>
                      <w:rPr>
                        <w:color w:val="FFFFFF"/>
                        <w:spacing w:val="-5"/>
                        <w:sz w:val="22"/>
                      </w:rPr>
                      <w:t> </w:t>
                    </w:r>
                    <w:r>
                      <w:rPr>
                        <w:color w:val="FFFFFF"/>
                        <w:sz w:val="22"/>
                      </w:rPr>
                      <w:t>3</w:t>
                    </w:r>
                    <w:r>
                      <w:rPr>
                        <w:color w:val="FFFFFF"/>
                        <w:spacing w:val="-3"/>
                        <w:sz w:val="22"/>
                      </w:rPr>
                      <w:t> </w:t>
                    </w:r>
                    <w:r>
                      <w:rPr>
                        <w:color w:val="FFFFFF"/>
                        <w:sz w:val="22"/>
                      </w:rPr>
                      <w:t>Issue</w:t>
                    </w:r>
                    <w:r>
                      <w:rPr>
                        <w:color w:val="FFFFFF"/>
                        <w:spacing w:val="-2"/>
                        <w:sz w:val="22"/>
                      </w:rPr>
                      <w:t> </w:t>
                    </w:r>
                    <w:r>
                      <w:rPr>
                        <w:color w:val="FFFFFF"/>
                        <w:sz w:val="22"/>
                      </w:rPr>
                      <w:t>3,</w:t>
                    </w:r>
                    <w:r>
                      <w:rPr>
                        <w:color w:val="FFFFFF"/>
                        <w:spacing w:val="-3"/>
                        <w:sz w:val="22"/>
                      </w:rPr>
                      <w:t> </w:t>
                    </w:r>
                    <w:r>
                      <w:rPr>
                        <w:color w:val="FFFFFF"/>
                        <w:sz w:val="22"/>
                      </w:rPr>
                      <w:t>March</w:t>
                    </w:r>
                    <w:r>
                      <w:rPr>
                        <w:color w:val="FFFFFF"/>
                        <w:spacing w:val="-5"/>
                        <w:sz w:val="22"/>
                      </w:rPr>
                      <w:t> </w:t>
                    </w:r>
                    <w:r>
                      <w:rPr>
                        <w:color w:val="FFFFFF"/>
                        <w:spacing w:val="-4"/>
                        <w:sz w:val="22"/>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99264">
              <wp:simplePos x="0" y="0"/>
              <wp:positionH relativeFrom="page">
                <wp:posOffset>3145663</wp:posOffset>
              </wp:positionH>
              <wp:positionV relativeFrom="page">
                <wp:posOffset>10066094</wp:posOffset>
              </wp:positionV>
              <wp:extent cx="1003935" cy="1898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03935" cy="189865"/>
                      </a:xfrm>
                      <a:prstGeom prst="rect">
                        <a:avLst/>
                      </a:prstGeom>
                    </wps:spPr>
                    <wps:txbx>
                      <w:txbxContent>
                        <w:p>
                          <w:pPr>
                            <w:spacing w:before="20"/>
                            <w:ind w:left="20" w:right="0" w:firstLine="0"/>
                            <w:jc w:val="left"/>
                            <w:rPr>
                              <w:sz w:val="22"/>
                            </w:rPr>
                          </w:pPr>
                          <w:r>
                            <w:rPr>
                              <w:color w:val="FFFFFF"/>
                              <w:sz w:val="22"/>
                            </w:rPr>
                            <w:t>ISSN</w:t>
                          </w:r>
                          <w:r>
                            <w:rPr>
                              <w:color w:val="FFFFFF"/>
                              <w:spacing w:val="-2"/>
                              <w:sz w:val="22"/>
                            </w:rPr>
                            <w:t> </w:t>
                          </w:r>
                          <w:r>
                            <w:rPr>
                              <w:color w:val="FFFFFF"/>
                              <w:sz w:val="22"/>
                            </w:rPr>
                            <w:t>2181-</w:t>
                          </w:r>
                          <w:r>
                            <w:rPr>
                              <w:color w:val="FFFFFF"/>
                              <w:spacing w:val="-4"/>
                              <w:sz w:val="22"/>
                            </w:rPr>
                            <w:t>4511</w:t>
                          </w:r>
                        </w:p>
                      </w:txbxContent>
                    </wps:txbx>
                    <wps:bodyPr wrap="square" lIns="0" tIns="0" rIns="0" bIns="0" rtlCol="0">
                      <a:noAutofit/>
                    </wps:bodyPr>
                  </wps:wsp>
                </a:graphicData>
              </a:graphic>
            </wp:anchor>
          </w:drawing>
        </mc:Choice>
        <mc:Fallback>
          <w:pict>
            <v:shape style="position:absolute;margin-left:247.690002pt;margin-top:792.605835pt;width:79.05pt;height:14.95pt;mso-position-horizontal-relative:page;mso-position-vertical-relative:page;z-index:-15817216" type="#_x0000_t202" id="docshape9" filled="false" stroked="false">
              <v:textbox inset="0,0,0,0">
                <w:txbxContent>
                  <w:p>
                    <w:pPr>
                      <w:spacing w:before="20"/>
                      <w:ind w:left="20" w:right="0" w:firstLine="0"/>
                      <w:jc w:val="left"/>
                      <w:rPr>
                        <w:sz w:val="22"/>
                      </w:rPr>
                    </w:pPr>
                    <w:r>
                      <w:rPr>
                        <w:color w:val="FFFFFF"/>
                        <w:sz w:val="22"/>
                      </w:rPr>
                      <w:t>ISSN</w:t>
                    </w:r>
                    <w:r>
                      <w:rPr>
                        <w:color w:val="FFFFFF"/>
                        <w:spacing w:val="-2"/>
                        <w:sz w:val="22"/>
                      </w:rPr>
                      <w:t> </w:t>
                    </w:r>
                    <w:r>
                      <w:rPr>
                        <w:color w:val="FFFFFF"/>
                        <w:sz w:val="22"/>
                      </w:rPr>
                      <w:t>2181-</w:t>
                    </w:r>
                    <w:r>
                      <w:rPr>
                        <w:color w:val="FFFFFF"/>
                        <w:spacing w:val="-4"/>
                        <w:sz w:val="22"/>
                      </w:rPr>
                      <w:t>4511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99776">
              <wp:simplePos x="0" y="0"/>
              <wp:positionH relativeFrom="page">
                <wp:posOffset>6177534</wp:posOffset>
              </wp:positionH>
              <wp:positionV relativeFrom="page">
                <wp:posOffset>10066094</wp:posOffset>
              </wp:positionV>
              <wp:extent cx="534670" cy="1898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34670" cy="189865"/>
                      </a:xfrm>
                      <a:prstGeom prst="rect">
                        <a:avLst/>
                      </a:prstGeom>
                    </wps:spPr>
                    <wps:txbx>
                      <w:txbxContent>
                        <w:p>
                          <w:pPr>
                            <w:spacing w:before="20"/>
                            <w:ind w:left="20" w:right="0" w:firstLine="0"/>
                            <w:jc w:val="left"/>
                            <w:rPr>
                              <w:sz w:val="22"/>
                            </w:rPr>
                          </w:pPr>
                          <w:r>
                            <w:rPr>
                              <w:color w:val="FFFFFF"/>
                              <w:sz w:val="22"/>
                            </w:rPr>
                            <w:t>Page</w:t>
                          </w:r>
                          <w:r>
                            <w:rPr>
                              <w:color w:val="FFFFFF"/>
                              <w:spacing w:val="-5"/>
                              <w:sz w:val="22"/>
                            </w:rPr>
                            <w:t> </w:t>
                          </w:r>
                          <w:r>
                            <w:rPr>
                              <w:color w:val="FFFFFF"/>
                              <w:spacing w:val="-5"/>
                              <w:sz w:val="22"/>
                            </w:rPr>
                            <w:fldChar w:fldCharType="begin"/>
                          </w:r>
                          <w:r>
                            <w:rPr>
                              <w:color w:val="FFFFFF"/>
                              <w:spacing w:val="-5"/>
                              <w:sz w:val="22"/>
                            </w:rPr>
                            <w:instrText> PAGE </w:instrText>
                          </w:r>
                          <w:r>
                            <w:rPr>
                              <w:color w:val="FFFFFF"/>
                              <w:spacing w:val="-5"/>
                              <w:sz w:val="22"/>
                            </w:rPr>
                            <w:fldChar w:fldCharType="separate"/>
                          </w:r>
                          <w:r>
                            <w:rPr>
                              <w:color w:val="FFFFFF"/>
                              <w:spacing w:val="-5"/>
                              <w:sz w:val="22"/>
                            </w:rPr>
                            <w:t>15</w:t>
                          </w:r>
                          <w:r>
                            <w:rPr>
                              <w:color w:val="FFFFFF"/>
                              <w:spacing w:val="-5"/>
                              <w:sz w:val="22"/>
                            </w:rPr>
                            <w:fldChar w:fldCharType="end"/>
                          </w:r>
                        </w:p>
                      </w:txbxContent>
                    </wps:txbx>
                    <wps:bodyPr wrap="square" lIns="0" tIns="0" rIns="0" bIns="0" rtlCol="0">
                      <a:noAutofit/>
                    </wps:bodyPr>
                  </wps:wsp>
                </a:graphicData>
              </a:graphic>
            </wp:anchor>
          </w:drawing>
        </mc:Choice>
        <mc:Fallback>
          <w:pict>
            <v:shape style="position:absolute;margin-left:486.420013pt;margin-top:792.605835pt;width:42.1pt;height:14.95pt;mso-position-horizontal-relative:page;mso-position-vertical-relative:page;z-index:-15816704" type="#_x0000_t202" id="docshape10" filled="false" stroked="false">
              <v:textbox inset="0,0,0,0">
                <w:txbxContent>
                  <w:p>
                    <w:pPr>
                      <w:spacing w:before="20"/>
                      <w:ind w:left="20" w:right="0" w:firstLine="0"/>
                      <w:jc w:val="left"/>
                      <w:rPr>
                        <w:sz w:val="22"/>
                      </w:rPr>
                    </w:pPr>
                    <w:r>
                      <w:rPr>
                        <w:color w:val="FFFFFF"/>
                        <w:sz w:val="22"/>
                      </w:rPr>
                      <w:t>Page</w:t>
                    </w:r>
                    <w:r>
                      <w:rPr>
                        <w:color w:val="FFFFFF"/>
                        <w:spacing w:val="-5"/>
                        <w:sz w:val="22"/>
                      </w:rPr>
                      <w:t> </w:t>
                    </w:r>
                    <w:r>
                      <w:rPr>
                        <w:color w:val="FFFFFF"/>
                        <w:spacing w:val="-5"/>
                        <w:sz w:val="22"/>
                      </w:rPr>
                      <w:fldChar w:fldCharType="begin"/>
                    </w:r>
                    <w:r>
                      <w:rPr>
                        <w:color w:val="FFFFFF"/>
                        <w:spacing w:val="-5"/>
                        <w:sz w:val="22"/>
                      </w:rPr>
                      <w:instrText> PAGE </w:instrText>
                    </w:r>
                    <w:r>
                      <w:rPr>
                        <w:color w:val="FFFFFF"/>
                        <w:spacing w:val="-5"/>
                        <w:sz w:val="22"/>
                      </w:rPr>
                      <w:fldChar w:fldCharType="separate"/>
                    </w:r>
                    <w:r>
                      <w:rPr>
                        <w:color w:val="FFFFFF"/>
                        <w:spacing w:val="-5"/>
                        <w:sz w:val="22"/>
                      </w:rPr>
                      <w:t>15</w:t>
                    </w:r>
                    <w:r>
                      <w:rPr>
                        <w:color w:val="FFFFFF"/>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496192">
              <wp:simplePos x="0" y="0"/>
              <wp:positionH relativeFrom="page">
                <wp:posOffset>0</wp:posOffset>
              </wp:positionH>
              <wp:positionV relativeFrom="page">
                <wp:posOffset>0</wp:posOffset>
              </wp:positionV>
              <wp:extent cx="7551420" cy="10744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51420" cy="1074420"/>
                        <a:chExt cx="7551420" cy="1074420"/>
                      </a:xfrm>
                    </wpg:grpSpPr>
                    <wps:wsp>
                      <wps:cNvPr id="2" name="Graphic 2"/>
                      <wps:cNvSpPr/>
                      <wps:spPr>
                        <a:xfrm>
                          <a:off x="0" y="0"/>
                          <a:ext cx="7551420" cy="1074420"/>
                        </a:xfrm>
                        <a:custGeom>
                          <a:avLst/>
                          <a:gdLst/>
                          <a:ahLst/>
                          <a:cxnLst/>
                          <a:rect l="l" t="t" r="r" b="b"/>
                          <a:pathLst>
                            <a:path w="7551420" h="1074420">
                              <a:moveTo>
                                <a:pt x="0" y="1074419"/>
                              </a:moveTo>
                              <a:lnTo>
                                <a:pt x="7551420" y="1074419"/>
                              </a:lnTo>
                              <a:lnTo>
                                <a:pt x="7551420" y="0"/>
                              </a:lnTo>
                              <a:lnTo>
                                <a:pt x="0" y="0"/>
                              </a:lnTo>
                              <a:lnTo>
                                <a:pt x="0" y="1074419"/>
                              </a:lnTo>
                              <a:close/>
                            </a:path>
                          </a:pathLst>
                        </a:custGeom>
                        <a:solidFill>
                          <a:srgbClr val="0C707A"/>
                        </a:solidFill>
                      </wps:spPr>
                      <wps:bodyPr wrap="square" lIns="0" tIns="0" rIns="0" bIns="0" rtlCol="0">
                        <a:prstTxWarp prst="textNoShape">
                          <a:avLst/>
                        </a:prstTxWarp>
                        <a:noAutofit/>
                      </wps:bodyPr>
                    </wps:wsp>
                    <pic:pic>
                      <pic:nvPicPr>
                        <pic:cNvPr id="3" name="Image 3" descr="Innovative Academy"/>
                        <pic:cNvPicPr/>
                      </pic:nvPicPr>
                      <pic:blipFill>
                        <a:blip r:embed="rId1" cstate="print"/>
                        <a:stretch>
                          <a:fillRect/>
                        </a:stretch>
                      </pic:blipFill>
                      <pic:spPr>
                        <a:xfrm>
                          <a:off x="571500" y="45719"/>
                          <a:ext cx="1053084" cy="979931"/>
                        </a:xfrm>
                        <a:prstGeom prst="rect">
                          <a:avLst/>
                        </a:prstGeom>
                      </pic:spPr>
                    </pic:pic>
                  </wpg:wgp>
                </a:graphicData>
              </a:graphic>
            </wp:anchor>
          </w:drawing>
        </mc:Choice>
        <mc:Fallback>
          <w:pict>
            <v:group style="position:absolute;margin-left:0pt;margin-top:0pt;width:594.6pt;height:84.6pt;mso-position-horizontal-relative:page;mso-position-vertical-relative:page;z-index:-15820288" id="docshapegroup1" coordorigin="0,0" coordsize="11892,1692">
              <v:rect style="position:absolute;left:0;top:0;width:11892;height:1692" id="docshape2" filled="true" fillcolor="#0c707a" stroked="false">
                <v:fill type="solid"/>
              </v:rect>
              <v:shape style="position:absolute;left:900;top:72;width:1659;height:1544" type="#_x0000_t75" id="docshape3" alt="Innovative Academy"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496704">
              <wp:simplePos x="0" y="0"/>
              <wp:positionH relativeFrom="page">
                <wp:posOffset>2253742</wp:posOffset>
              </wp:positionH>
              <wp:positionV relativeFrom="page">
                <wp:posOffset>435416</wp:posOffset>
              </wp:positionV>
              <wp:extent cx="4313555" cy="48768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313555" cy="487680"/>
                      </a:xfrm>
                      <a:prstGeom prst="rect">
                        <a:avLst/>
                      </a:prstGeom>
                    </wps:spPr>
                    <wps:txbx>
                      <w:txbxContent>
                        <w:p>
                          <w:pPr>
                            <w:spacing w:before="19"/>
                            <w:ind w:left="1806" w:right="18" w:hanging="1787"/>
                            <w:jc w:val="left"/>
                            <w:rPr>
                              <w:rFonts w:ascii="Georgia"/>
                              <w:b/>
                              <w:sz w:val="32"/>
                            </w:rPr>
                          </w:pPr>
                          <w:r>
                            <w:rPr>
                              <w:rFonts w:ascii="Georgia"/>
                              <w:b/>
                              <w:color w:val="FFFFFF"/>
                              <w:sz w:val="32"/>
                            </w:rPr>
                            <w:t>EURASIAN</w:t>
                          </w:r>
                          <w:r>
                            <w:rPr>
                              <w:rFonts w:ascii="Georgia"/>
                              <w:b/>
                              <w:color w:val="FFFFFF"/>
                              <w:spacing w:val="-13"/>
                              <w:sz w:val="32"/>
                            </w:rPr>
                            <w:t> </w:t>
                          </w:r>
                          <w:r>
                            <w:rPr>
                              <w:rFonts w:ascii="Georgia"/>
                              <w:b/>
                              <w:color w:val="FFFFFF"/>
                              <w:sz w:val="32"/>
                            </w:rPr>
                            <w:t>JOURNAL</w:t>
                          </w:r>
                          <w:r>
                            <w:rPr>
                              <w:rFonts w:ascii="Georgia"/>
                              <w:b/>
                              <w:color w:val="FFFFFF"/>
                              <w:spacing w:val="-16"/>
                              <w:sz w:val="32"/>
                            </w:rPr>
                            <w:t> </w:t>
                          </w:r>
                          <w:r>
                            <w:rPr>
                              <w:rFonts w:ascii="Georgia"/>
                              <w:b/>
                              <w:color w:val="FFFFFF"/>
                              <w:sz w:val="32"/>
                            </w:rPr>
                            <w:t>OF</w:t>
                          </w:r>
                          <w:r>
                            <w:rPr>
                              <w:rFonts w:ascii="Georgia"/>
                              <w:b/>
                              <w:color w:val="FFFFFF"/>
                              <w:spacing w:val="-15"/>
                              <w:sz w:val="32"/>
                            </w:rPr>
                            <w:t> </w:t>
                          </w:r>
                          <w:r>
                            <w:rPr>
                              <w:rFonts w:ascii="Georgia"/>
                              <w:b/>
                              <w:color w:val="FFFFFF"/>
                              <w:sz w:val="32"/>
                            </w:rPr>
                            <w:t>TECHNOLOGY AND INNOVATION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7.460007pt;margin-top:34.284786pt;width:339.65pt;height:38.4pt;mso-position-horizontal-relative:page;mso-position-vertical-relative:page;z-index:-15819776" type="#_x0000_t202" id="docshape4" filled="false" stroked="false">
              <v:textbox inset="0,0,0,0">
                <w:txbxContent>
                  <w:p>
                    <w:pPr>
                      <w:spacing w:before="19"/>
                      <w:ind w:left="1806" w:right="18" w:hanging="1787"/>
                      <w:jc w:val="left"/>
                      <w:rPr>
                        <w:rFonts w:ascii="Georgia"/>
                        <w:b/>
                        <w:sz w:val="32"/>
                      </w:rPr>
                    </w:pPr>
                    <w:r>
                      <w:rPr>
                        <w:rFonts w:ascii="Georgia"/>
                        <w:b/>
                        <w:color w:val="FFFFFF"/>
                        <w:sz w:val="32"/>
                      </w:rPr>
                      <w:t>EURASIAN</w:t>
                    </w:r>
                    <w:r>
                      <w:rPr>
                        <w:rFonts w:ascii="Georgia"/>
                        <w:b/>
                        <w:color w:val="FFFFFF"/>
                        <w:spacing w:val="-13"/>
                        <w:sz w:val="32"/>
                      </w:rPr>
                      <w:t> </w:t>
                    </w:r>
                    <w:r>
                      <w:rPr>
                        <w:rFonts w:ascii="Georgia"/>
                        <w:b/>
                        <w:color w:val="FFFFFF"/>
                        <w:sz w:val="32"/>
                      </w:rPr>
                      <w:t>JOURNAL</w:t>
                    </w:r>
                    <w:r>
                      <w:rPr>
                        <w:rFonts w:ascii="Georgia"/>
                        <w:b/>
                        <w:color w:val="FFFFFF"/>
                        <w:spacing w:val="-16"/>
                        <w:sz w:val="32"/>
                      </w:rPr>
                      <w:t> </w:t>
                    </w:r>
                    <w:r>
                      <w:rPr>
                        <w:rFonts w:ascii="Georgia"/>
                        <w:b/>
                        <w:color w:val="FFFFFF"/>
                        <w:sz w:val="32"/>
                      </w:rPr>
                      <w:t>OF</w:t>
                    </w:r>
                    <w:r>
                      <w:rPr>
                        <w:rFonts w:ascii="Georgia"/>
                        <w:b/>
                        <w:color w:val="FFFFFF"/>
                        <w:spacing w:val="-15"/>
                        <w:sz w:val="32"/>
                      </w:rPr>
                      <w:t> </w:t>
                    </w:r>
                    <w:r>
                      <w:rPr>
                        <w:rFonts w:ascii="Georgia"/>
                        <w:b/>
                        <w:color w:val="FFFFFF"/>
                        <w:sz w:val="32"/>
                      </w:rPr>
                      <w:t>TECHNOLOGY AND INNOVATION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97216">
              <wp:simplePos x="0" y="0"/>
              <wp:positionH relativeFrom="page">
                <wp:posOffset>1787398</wp:posOffset>
              </wp:positionH>
              <wp:positionV relativeFrom="page">
                <wp:posOffset>900006</wp:posOffset>
              </wp:positionV>
              <wp:extent cx="326644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266440" cy="194310"/>
                      </a:xfrm>
                      <a:prstGeom prst="rect">
                        <a:avLst/>
                      </a:prstGeom>
                    </wps:spPr>
                    <wps:txbx>
                      <w:txbxContent>
                        <w:p>
                          <w:pPr>
                            <w:pStyle w:val="BodyText"/>
                            <w:spacing w:before="10"/>
                            <w:ind w:left="20" w:firstLine="0"/>
                            <w:jc w:val="left"/>
                            <w:rPr>
                              <w:sz w:val="20"/>
                            </w:rPr>
                          </w:pPr>
                          <w:r>
                            <w:rPr>
                              <w:rFonts w:ascii="Times New Roman"/>
                              <w:color w:val="FFFFFF"/>
                            </w:rPr>
                            <w:t>Innovative</w:t>
                          </w:r>
                          <w:r>
                            <w:rPr>
                              <w:rFonts w:ascii="Times New Roman"/>
                              <w:color w:val="FFFFFF"/>
                              <w:spacing w:val="-2"/>
                            </w:rPr>
                            <w:t> </w:t>
                          </w:r>
                          <w:r>
                            <w:rPr>
                              <w:rFonts w:ascii="Times New Roman"/>
                              <w:color w:val="FFFFFF"/>
                            </w:rPr>
                            <w:t>Academy</w:t>
                          </w:r>
                          <w:r>
                            <w:rPr>
                              <w:rFonts w:ascii="Times New Roman"/>
                              <w:color w:val="FFFFFF"/>
                              <w:spacing w:val="-6"/>
                            </w:rPr>
                            <w:t> </w:t>
                          </w:r>
                          <w:r>
                            <w:rPr>
                              <w:rFonts w:ascii="Times New Roman"/>
                              <w:color w:val="FFFFFF"/>
                            </w:rPr>
                            <w:t>Research Support</w:t>
                          </w:r>
                          <w:r>
                            <w:rPr>
                              <w:rFonts w:ascii="Times New Roman"/>
                              <w:color w:val="FFFFFF"/>
                              <w:spacing w:val="-1"/>
                            </w:rPr>
                            <w:t> </w:t>
                          </w:r>
                          <w:r>
                            <w:rPr>
                              <w:rFonts w:ascii="Times New Roman"/>
                              <w:color w:val="FFFFFF"/>
                            </w:rPr>
                            <w:t>Center</w:t>
                          </w:r>
                          <w:r>
                            <w:rPr>
                              <w:rFonts w:ascii="Georgia"/>
                              <w:color w:val="FFFFFF"/>
                              <w:sz w:val="20"/>
                            </w:rPr>
                            <w:t>IF= </w:t>
                          </w:r>
                          <w:r>
                            <w:rPr>
                              <w:color w:val="FFFFFF"/>
                              <w:spacing w:val="-5"/>
                              <w:sz w:val="20"/>
                            </w:rPr>
                            <w:t>7.7</w:t>
                          </w:r>
                        </w:p>
                      </w:txbxContent>
                    </wps:txbx>
                    <wps:bodyPr wrap="square" lIns="0" tIns="0" rIns="0" bIns="0" rtlCol="0">
                      <a:noAutofit/>
                    </wps:bodyPr>
                  </wps:wsp>
                </a:graphicData>
              </a:graphic>
            </wp:anchor>
          </w:drawing>
        </mc:Choice>
        <mc:Fallback>
          <w:pict>
            <v:shape style="position:absolute;margin-left:140.740005pt;margin-top:70.866623pt;width:257.2pt;height:15.3pt;mso-position-horizontal-relative:page;mso-position-vertical-relative:page;z-index:-15819264" type="#_x0000_t202" id="docshape5" filled="false" stroked="false">
              <v:textbox inset="0,0,0,0">
                <w:txbxContent>
                  <w:p>
                    <w:pPr>
                      <w:pStyle w:val="BodyText"/>
                      <w:spacing w:before="10"/>
                      <w:ind w:left="20" w:firstLine="0"/>
                      <w:jc w:val="left"/>
                      <w:rPr>
                        <w:sz w:val="20"/>
                      </w:rPr>
                    </w:pPr>
                    <w:r>
                      <w:rPr>
                        <w:rFonts w:ascii="Times New Roman"/>
                        <w:color w:val="FFFFFF"/>
                      </w:rPr>
                      <w:t>Innovative</w:t>
                    </w:r>
                    <w:r>
                      <w:rPr>
                        <w:rFonts w:ascii="Times New Roman"/>
                        <w:color w:val="FFFFFF"/>
                        <w:spacing w:val="-2"/>
                      </w:rPr>
                      <w:t> </w:t>
                    </w:r>
                    <w:r>
                      <w:rPr>
                        <w:rFonts w:ascii="Times New Roman"/>
                        <w:color w:val="FFFFFF"/>
                      </w:rPr>
                      <w:t>Academy</w:t>
                    </w:r>
                    <w:r>
                      <w:rPr>
                        <w:rFonts w:ascii="Times New Roman"/>
                        <w:color w:val="FFFFFF"/>
                        <w:spacing w:val="-6"/>
                      </w:rPr>
                      <w:t> </w:t>
                    </w:r>
                    <w:r>
                      <w:rPr>
                        <w:rFonts w:ascii="Times New Roman"/>
                        <w:color w:val="FFFFFF"/>
                      </w:rPr>
                      <w:t>Research Support</w:t>
                    </w:r>
                    <w:r>
                      <w:rPr>
                        <w:rFonts w:ascii="Times New Roman"/>
                        <w:color w:val="FFFFFF"/>
                        <w:spacing w:val="-1"/>
                      </w:rPr>
                      <w:t> </w:t>
                    </w:r>
                    <w:r>
                      <w:rPr>
                        <w:rFonts w:ascii="Times New Roman"/>
                        <w:color w:val="FFFFFF"/>
                      </w:rPr>
                      <w:t>Center</w:t>
                    </w:r>
                    <w:r>
                      <w:rPr>
                        <w:rFonts w:ascii="Georgia"/>
                        <w:color w:val="FFFFFF"/>
                        <w:sz w:val="20"/>
                      </w:rPr>
                      <w:t>IF= </w:t>
                    </w:r>
                    <w:r>
                      <w:rPr>
                        <w:color w:val="FFFFFF"/>
                        <w:spacing w:val="-5"/>
                        <w:sz w:val="20"/>
                      </w:rPr>
                      <w:t>7.7</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97728">
              <wp:simplePos x="0" y="0"/>
              <wp:positionH relativeFrom="page">
                <wp:posOffset>5605653</wp:posOffset>
              </wp:positionH>
              <wp:positionV relativeFrom="page">
                <wp:posOffset>919819</wp:posOffset>
              </wp:positionV>
              <wp:extent cx="1156335"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156335" cy="169545"/>
                      </a:xfrm>
                      <a:prstGeom prst="rect">
                        <a:avLst/>
                      </a:prstGeom>
                    </wps:spPr>
                    <wps:txbx>
                      <w:txbxContent>
                        <w:p>
                          <w:pPr>
                            <w:spacing w:before="19"/>
                            <w:ind w:left="20" w:right="0" w:firstLine="0"/>
                            <w:jc w:val="left"/>
                            <w:rPr>
                              <w:rFonts w:ascii="Georgia"/>
                              <w:sz w:val="20"/>
                            </w:rPr>
                          </w:pPr>
                          <w:hyperlink r:id="rId2">
                            <w:r>
                              <w:rPr>
                                <w:rFonts w:ascii="Georgia"/>
                                <w:color w:val="FFFFFF"/>
                                <w:spacing w:val="-2"/>
                                <w:sz w:val="20"/>
                              </w:rPr>
                              <w:t>www.in-academy.uz</w:t>
                            </w:r>
                          </w:hyperlink>
                        </w:p>
                      </w:txbxContent>
                    </wps:txbx>
                    <wps:bodyPr wrap="square" lIns="0" tIns="0" rIns="0" bIns="0" rtlCol="0">
                      <a:noAutofit/>
                    </wps:bodyPr>
                  </wps:wsp>
                </a:graphicData>
              </a:graphic>
            </wp:anchor>
          </w:drawing>
        </mc:Choice>
        <mc:Fallback>
          <w:pict>
            <v:shape style="position:absolute;margin-left:441.390015pt;margin-top:72.426743pt;width:91.05pt;height:13.35pt;mso-position-horizontal-relative:page;mso-position-vertical-relative:page;z-index:-15818752" type="#_x0000_t202" id="docshape6" filled="false" stroked="false">
              <v:textbox inset="0,0,0,0">
                <w:txbxContent>
                  <w:p>
                    <w:pPr>
                      <w:spacing w:before="19"/>
                      <w:ind w:left="20" w:right="0" w:firstLine="0"/>
                      <w:jc w:val="left"/>
                      <w:rPr>
                        <w:rFonts w:ascii="Georgia"/>
                        <w:sz w:val="20"/>
                      </w:rPr>
                    </w:pPr>
                    <w:hyperlink r:id="rId2">
                      <w:r>
                        <w:rPr>
                          <w:rFonts w:ascii="Georgia"/>
                          <w:color w:val="FFFFFF"/>
                          <w:spacing w:val="-2"/>
                          <w:sz w:val="20"/>
                        </w:rPr>
                        <w:t>www.in-academy.uz</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40" w:hanging="567"/>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1118" w:hanging="567"/>
      </w:pPr>
      <w:rPr>
        <w:rFonts w:hint="default"/>
        <w:lang w:val="en-US" w:eastAsia="en-US" w:bidi="ar-SA"/>
      </w:rPr>
    </w:lvl>
    <w:lvl w:ilvl="2">
      <w:start w:val="0"/>
      <w:numFmt w:val="bullet"/>
      <w:lvlText w:val="•"/>
      <w:lvlJc w:val="left"/>
      <w:pPr>
        <w:ind w:left="2096" w:hanging="567"/>
      </w:pPr>
      <w:rPr>
        <w:rFonts w:hint="default"/>
        <w:lang w:val="en-US" w:eastAsia="en-US" w:bidi="ar-SA"/>
      </w:rPr>
    </w:lvl>
    <w:lvl w:ilvl="3">
      <w:start w:val="0"/>
      <w:numFmt w:val="bullet"/>
      <w:lvlText w:val="•"/>
      <w:lvlJc w:val="left"/>
      <w:pPr>
        <w:ind w:left="3074" w:hanging="567"/>
      </w:pPr>
      <w:rPr>
        <w:rFonts w:hint="default"/>
        <w:lang w:val="en-US" w:eastAsia="en-US" w:bidi="ar-SA"/>
      </w:rPr>
    </w:lvl>
    <w:lvl w:ilvl="4">
      <w:start w:val="0"/>
      <w:numFmt w:val="bullet"/>
      <w:lvlText w:val="•"/>
      <w:lvlJc w:val="left"/>
      <w:pPr>
        <w:ind w:left="4052" w:hanging="567"/>
      </w:pPr>
      <w:rPr>
        <w:rFonts w:hint="default"/>
        <w:lang w:val="en-US" w:eastAsia="en-US" w:bidi="ar-SA"/>
      </w:rPr>
    </w:lvl>
    <w:lvl w:ilvl="5">
      <w:start w:val="0"/>
      <w:numFmt w:val="bullet"/>
      <w:lvlText w:val="•"/>
      <w:lvlJc w:val="left"/>
      <w:pPr>
        <w:ind w:left="5031" w:hanging="567"/>
      </w:pPr>
      <w:rPr>
        <w:rFonts w:hint="default"/>
        <w:lang w:val="en-US" w:eastAsia="en-US" w:bidi="ar-SA"/>
      </w:rPr>
    </w:lvl>
    <w:lvl w:ilvl="6">
      <w:start w:val="0"/>
      <w:numFmt w:val="bullet"/>
      <w:lvlText w:val="•"/>
      <w:lvlJc w:val="left"/>
      <w:pPr>
        <w:ind w:left="6009" w:hanging="567"/>
      </w:pPr>
      <w:rPr>
        <w:rFonts w:hint="default"/>
        <w:lang w:val="en-US" w:eastAsia="en-US" w:bidi="ar-SA"/>
      </w:rPr>
    </w:lvl>
    <w:lvl w:ilvl="7">
      <w:start w:val="0"/>
      <w:numFmt w:val="bullet"/>
      <w:lvlText w:val="•"/>
      <w:lvlJc w:val="left"/>
      <w:pPr>
        <w:ind w:left="6987" w:hanging="567"/>
      </w:pPr>
      <w:rPr>
        <w:rFonts w:hint="default"/>
        <w:lang w:val="en-US" w:eastAsia="en-US" w:bidi="ar-SA"/>
      </w:rPr>
    </w:lvl>
    <w:lvl w:ilvl="8">
      <w:start w:val="0"/>
      <w:numFmt w:val="bullet"/>
      <w:lvlText w:val="•"/>
      <w:lvlJc w:val="left"/>
      <w:pPr>
        <w:ind w:left="7965" w:hanging="56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140" w:firstLine="566"/>
      <w:jc w:val="both"/>
    </w:pPr>
    <w:rPr>
      <w:rFonts w:ascii="Cambria" w:hAnsi="Cambria" w:eastAsia="Cambria" w:cs="Cambria"/>
      <w:sz w:val="24"/>
      <w:szCs w:val="24"/>
      <w:lang w:val="en-US" w:eastAsia="en-US" w:bidi="ar-SA"/>
    </w:rPr>
  </w:style>
  <w:style w:styleId="Heading1" w:type="paragraph">
    <w:name w:val="Heading 1"/>
    <w:basedOn w:val="Normal"/>
    <w:uiPriority w:val="1"/>
    <w:qFormat/>
    <w:pPr>
      <w:ind w:left="5" w:right="5"/>
      <w:jc w:val="center"/>
      <w:outlineLvl w:val="1"/>
    </w:pPr>
    <w:rPr>
      <w:rFonts w:ascii="Cambria" w:hAnsi="Cambria" w:eastAsia="Cambria" w:cs="Cambria"/>
      <w:b/>
      <w:bCs/>
      <w:sz w:val="28"/>
      <w:szCs w:val="28"/>
      <w:lang w:val="en-US" w:eastAsia="en-US" w:bidi="ar-SA"/>
    </w:rPr>
  </w:style>
  <w:style w:styleId="Heading2" w:type="paragraph">
    <w:name w:val="Heading 2"/>
    <w:basedOn w:val="Normal"/>
    <w:uiPriority w:val="1"/>
    <w:qFormat/>
    <w:pPr>
      <w:ind w:left="-1" w:right="4"/>
      <w:jc w:val="center"/>
      <w:outlineLvl w:val="2"/>
    </w:pPr>
    <w:rPr>
      <w:rFonts w:ascii="Cambria" w:hAnsi="Cambria" w:eastAsia="Cambria" w:cs="Cambria"/>
      <w:b/>
      <w:bCs/>
      <w:sz w:val="24"/>
      <w:szCs w:val="24"/>
      <w:lang w:val="en-US" w:eastAsia="en-US" w:bidi="ar-SA"/>
    </w:rPr>
  </w:style>
  <w:style w:styleId="Title" w:type="paragraph">
    <w:name w:val="Title"/>
    <w:basedOn w:val="Normal"/>
    <w:uiPriority w:val="1"/>
    <w:qFormat/>
    <w:pPr>
      <w:spacing w:before="19"/>
      <w:ind w:left="1806" w:right="18" w:hanging="1787"/>
    </w:pPr>
    <w:rPr>
      <w:rFonts w:ascii="Georgia" w:hAnsi="Georgia" w:eastAsia="Georgia" w:cs="Georgia"/>
      <w:b/>
      <w:bCs/>
      <w:sz w:val="32"/>
      <w:szCs w:val="32"/>
      <w:lang w:val="en-US" w:eastAsia="en-US" w:bidi="ar-SA"/>
    </w:rPr>
  </w:style>
  <w:style w:styleId="ListParagraph" w:type="paragraph">
    <w:name w:val="List Paragraph"/>
    <w:basedOn w:val="Normal"/>
    <w:uiPriority w:val="1"/>
    <w:qFormat/>
    <w:pPr>
      <w:ind w:left="140"/>
      <w:jc w:val="both"/>
    </w:pPr>
    <w:rPr>
      <w:rFonts w:ascii="Cambria" w:hAnsi="Cambria" w:eastAsia="Cambria" w:cs="Cambria"/>
      <w:lang w:val="en-US" w:eastAsia="en-US" w:bidi="ar-SA"/>
    </w:rPr>
  </w:style>
  <w:style w:styleId="TableParagraph" w:type="paragraph">
    <w:name w:val="Table Paragraph"/>
    <w:basedOn w:val="Normal"/>
    <w:uiPriority w:val="1"/>
    <w:qFormat/>
    <w:pPr>
      <w:ind w:left="5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hyperlink" Target="https://doi.org/10.5281/zenodo.15049479" TargetMode="External"/><Relationship Id="rId9" Type="http://schemas.openxmlformats.org/officeDocument/2006/relationships/hyperlink" Target="http://sovminrk.gov.uz/uz/pages/show/6194" TargetMode="External"/><Relationship Id="rId1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file://localhost/D:/Work/Innovative%20Academy/Innovative%20Academy%20journals/EJAR/Main%20documents%20-%20Asosiy%20fayllar/www.in-academy.u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EJAR admin</dc:creator>
  <dcterms:created xsi:type="dcterms:W3CDTF">2026-09-10T16:54:07Z</dcterms:created>
  <dcterms:modified xsi:type="dcterms:W3CDTF">2026-09-10T16:54:07Z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2025-03-20T00:00:00Z</vt:filetime>
  </property>
  <property fmtid="{D5CDD505-2E9C-101B-9397-08002B2CF9AE}" pid="4" name="Creator">
    <vt:lpwstr>Microsoft® Word 2016</vt:lpwstr>
  </property>
  <property fmtid="{D5CDD505-2E9C-101B-9397-08002B2CF9AE}" pid="5" name="LastSaved">
    <vt:filetime>2026-09-10T00:00:00Z</vt:filetime>
  </property>
  <property fmtid="{D5CDD505-2E9C-101B-9397-08002B2CF9AE}" pid="6" name="Producer">
    <vt:lpwstr>CyberLeninka</vt:lpwstr>
  </property>
</Properties>
</file>