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emf" ContentType="image/x-emf"/>
  <Override PartName="/word/media/rId37.emf" ContentType="image/x-emf"/>
  <Override PartName="/word/media/rId38.emf" ContentType="image/x-emf"/>
  <Override PartName="/word/media/rId29.emf" ContentType="image/x-emf"/>
  <Override PartName="/word/media/rId30.emf" ContentType="image/x-emf"/>
  <Override PartName="/word/media/rId32.emf" ContentType="image/x-emf"/>
  <Override PartName="/word/media/rId39.emf" ContentType="image/x-emf"/>
  <Override PartName="/word/media/rId58.emf" ContentType="image/x-emf"/>
  <Override PartName="/word/media/rId74.emf" ContentType="image/x-emf"/>
  <Override PartName="/word/media/rId75.emf" ContentType="image/x-emf"/>
  <Override PartName="/word/media/rId35.emf" ContentType="image/x-emf"/>
  <Override PartName="/word/media/rId26.emf" ContentType="image/x-emf"/>
  <Override PartName="/word/media/rId69.png" ContentType="image/png"/>
  <Override PartName="/word/media/rId66.png" ContentType="image/png"/>
  <Override PartName="/word/media/rId60.png" ContentType="image/png"/>
  <Override PartName="/word/media/rId70.png" ContentType="image/png"/>
  <Override PartName="/word/media/rId61.png" ContentType="image/png"/>
  <Override PartName="/word/media/rId65.png" ContentType="image/png"/>
  <Override PartName="/word/media/rId63.png" ContentType="image/png"/>
  <Override PartName="/word/media/rId67.png" ContentType="image/png"/>
  <Override PartName="/word/media/rId41.png" ContentType="image/png"/>
  <Override PartName="/word/media/rId53.png" ContentType="image/png"/>
  <Override PartName="/word/media/rId52.png" ContentType="image/png"/>
  <Override PartName="/word/media/rId42.png" ContentType="image/png"/>
  <Override PartName="/word/media/rId44.png" ContentType="image/png"/>
  <Override PartName="/word/media/rId46.png" ContentType="image/png"/>
  <Default Extension="png" ContentType="image/png"/>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Report</w:t>
      </w:r>
      <w:r>
        <w:t xml:space="preserve"> </w:t>
      </w:r>
      <w:r>
        <w:t xml:space="preserve">of</w:t>
      </w:r>
      <w:r>
        <w:t xml:space="preserve"> </w:t>
      </w:r>
      <w:r>
        <w:t xml:space="preserve">Summer</w:t>
      </w:r>
      <w:r>
        <w:t xml:space="preserve"> </w:t>
      </w:r>
      <w:r>
        <w:t xml:space="preserve">Term</w:t>
      </w:r>
      <w:r>
        <w:t xml:space="preserve"> </w:t>
      </w:r>
      <w:r>
        <w:t xml:space="preserve">Internship</w:t>
      </w:r>
      <w:r>
        <w:t xml:space="preserve"> </w:t>
      </w:r>
      <w:r>
        <w:t xml:space="preserve">2026</w:t>
      </w:r>
    </w:p>
    <w:p>
      <w:pPr>
        <w:pStyle w:val="Subtitle"/>
      </w:pPr>
      <w:r>
        <w:t xml:space="preserve">Better</w:t>
      </w:r>
      <w:r>
        <w:t xml:space="preserve"> </w:t>
      </w:r>
      <w:r>
        <w:t xml:space="preserve">Action</w:t>
      </w:r>
      <w:r>
        <w:t xml:space="preserve"> </w:t>
      </w:r>
      <w:r>
        <w:t xml:space="preserve">Heads</w:t>
      </w:r>
      <w:r>
        <w:t xml:space="preserve"> </w:t>
      </w:r>
      <w:r>
        <w:t xml:space="preserve">for</w:t>
      </w:r>
      <w:r>
        <w:t xml:space="preserve"> </w:t>
      </w:r>
      <w:r>
        <w:t xml:space="preserve">Robot</w:t>
      </w:r>
      <w:r>
        <w:t xml:space="preserve"> </w:t>
      </w:r>
      <w:r>
        <w:t xml:space="preserve">Vision-Language-Action</w:t>
      </w:r>
      <w:r>
        <w:t xml:space="preserve"> </w:t>
      </w:r>
      <w:r>
        <w:t xml:space="preserve">Models:</w:t>
      </w:r>
      <w:r>
        <w:t xml:space="preserve"> </w:t>
      </w:r>
      <w:r>
        <w:t xml:space="preserve">An</w:t>
      </w:r>
      <w:r>
        <w:t xml:space="preserve"> </w:t>
      </w:r>
      <w:r>
        <w:t xml:space="preserve">Operator-Learning</w:t>
      </w:r>
      <w:r>
        <w:t xml:space="preserve"> </w:t>
      </w:r>
      <w:r>
        <w:t xml:space="preserve">and</w:t>
      </w:r>
      <w:r>
        <w:t xml:space="preserve"> </w:t>
      </w:r>
      <w:r>
        <w:t xml:space="preserve">Topology</w:t>
      </w:r>
      <w:r>
        <w:t xml:space="preserve"> </w:t>
      </w:r>
      <w:r>
        <w:t xml:space="preserve">View</w:t>
      </w:r>
    </w:p>
    <w:p>
      <w:pPr>
        <w:pStyle w:val="Author"/>
      </w:pPr>
      <w:r>
        <w:t xml:space="preserve">Ayush</w:t>
      </w:r>
      <w:r>
        <w:t xml:space="preserve"> </w:t>
      </w:r>
      <w:r>
        <w:t xml:space="preserve">Shah</w:t>
      </w:r>
    </w:p>
    <w:p>
      <w:pPr>
        <w:pStyle w:val="Date"/>
      </w:pPr>
      <w:r>
        <w:t xml:space="preserve">Lab:</w:t>
      </w:r>
      <w:r>
        <w:t xml:space="preserve"> </w:t>
      </w:r>
      <w:r>
        <w:t xml:space="preserve">ISLAB</w:t>
      </w:r>
      <w:r>
        <w:t xml:space="preserve"> </w:t>
      </w:r>
      <w:r>
        <w:t xml:space="preserve">·</w:t>
      </w:r>
      <w:r>
        <w:t xml:space="preserve"> </w:t>
      </w:r>
      <w:r>
        <w:t xml:space="preserve">Supervisor:</w:t>
      </w:r>
      <w:r>
        <w:t xml:space="preserve"> </w:t>
      </w:r>
      <w:r>
        <w:t xml:space="preserve">Dr. Oh</w:t>
      </w:r>
      <w:r>
        <w:t xml:space="preserve"> </w:t>
      </w:r>
      <w:r>
        <w:t xml:space="preserve">Kwon</w:t>
      </w:r>
      <w:r>
        <w:t xml:space="preserve"> </w:t>
      </w:r>
      <w:r>
        <w:t xml:space="preserve">Seol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stract"/>
    <w:p>
      <w:pPr>
        <w:pStyle w:val="Heading1"/>
      </w:pPr>
      <w:r>
        <w:t xml:space="preserve">Abstract</w:t>
      </w:r>
    </w:p>
    <w:p>
      <w:pPr>
        <w:pStyle w:val="FirstParagraph"/>
      </w:pPr>
      <w:r>
        <w:t xml:space="preserve">This project is about teaching robots to move better. Modern robot</w:t>
      </w:r>
      <w:r>
        <w:t xml:space="preserve"> </w:t>
      </w:r>
      <w:r>
        <w:t xml:space="preserve">“</w:t>
      </w:r>
      <w:r>
        <w:t xml:space="preserve">brains</w:t>
      </w:r>
      <w:r>
        <w:t xml:space="preserve">”</w:t>
      </w:r>
      <w:r>
        <w:t xml:space="preserve"> </w:t>
      </w:r>
      <w:r>
        <w:t xml:space="preserve">are large</w:t>
      </w:r>
      <w:r>
        <w:t xml:space="preserve"> </w:t>
      </w:r>
      <w:r>
        <w:t xml:space="preserve">vision-language-action (VLA) models: you show them camera images and tell them what to do in</w:t>
      </w:r>
      <w:r>
        <w:t xml:space="preserve"> </w:t>
      </w:r>
      <w:r>
        <w:t xml:space="preserve">plain language, and they output a short sequence of actions for the arm. The part that actually</w:t>
      </w:r>
      <w:r>
        <w:t xml:space="preserve"> </w:t>
      </w:r>
      <w:r>
        <w:t xml:space="preserve">produces the numbers for the motion is called the</w:t>
      </w:r>
      <w:r>
        <w:t xml:space="preserve"> </w:t>
      </w:r>
      <w:r>
        <w:rPr>
          <w:iCs/>
          <w:i/>
        </w:rPr>
        <w:t xml:space="preserve">action head</w:t>
      </w:r>
      <w:r>
        <w:t xml:space="preserve">. Most strong models use a heavy</w:t>
      </w:r>
      <w:r>
        <w:t xml:space="preserve"> </w:t>
      </w:r>
      <w:r>
        <w:t xml:space="preserve">action head based on diffusion or flow matching, which builds the motion by slowly cleaning up</w:t>
      </w:r>
      <w:r>
        <w:t xml:space="preserve"> </w:t>
      </w:r>
      <w:r>
        <w:t xml:space="preserve">random noise over many steps.</w:t>
      </w:r>
    </w:p>
    <w:p>
      <w:pPr>
        <w:pStyle w:val="BodyText"/>
      </w:pPr>
      <w:r>
        <w:t xml:space="preserve">Coming from a mathematics and computing background, we noticed that this problem has a very clean</w:t>
      </w:r>
      <w:r>
        <w:t xml:space="preserve"> </w:t>
      </w:r>
      <w:r>
        <w:t xml:space="preserve">mathematical shape. A short piece of robot motion is really a</w:t>
      </w:r>
      <w:r>
        <w:t xml:space="preserve"> </w:t>
      </w:r>
      <w:r>
        <w:rPr>
          <w:iCs/>
          <w:i/>
        </w:rPr>
        <w:t xml:space="preserve">function of time</w:t>
      </w:r>
      <w:r>
        <w:t xml:space="preserve">, and predicting a</w:t>
      </w:r>
      <w:r>
        <w:t xml:space="preserve"> </w:t>
      </w:r>
      <w:r>
        <w:t xml:space="preserve">function from an input is exactly what a branch of maths called</w:t>
      </w:r>
      <w:r>
        <w:t xml:space="preserve"> </w:t>
      </w:r>
      <w:r>
        <w:rPr>
          <w:iCs/>
          <w:i/>
        </w:rPr>
        <w:t xml:space="preserve">operator learning</w:t>
      </w:r>
      <w:r>
        <w:t xml:space="preserve"> </w:t>
      </w:r>
      <w:r>
        <w:t xml:space="preserve">studies. There</w:t>
      </w:r>
      <w:r>
        <w:t xml:space="preserve"> </w:t>
      </w:r>
      <w:r>
        <w:t xml:space="preserve">is a neural network built for this, the</w:t>
      </w:r>
      <w:r>
        <w:t xml:space="preserve"> </w:t>
      </w:r>
      <w:r>
        <w:rPr>
          <w:bCs/>
          <w:b/>
        </w:rPr>
        <w:t xml:space="preserve">DeepONet</w:t>
      </w:r>
      <w:r>
        <w:t xml:space="preserve">, which comes straight out of a mathematics</w:t>
      </w:r>
      <w:r>
        <w:t xml:space="preserve"> </w:t>
      </w:r>
      <w:r>
        <w:t xml:space="preserve">paper. We also noticed that a motion has a</w:t>
      </w:r>
      <w:r>
        <w:t xml:space="preserve"> </w:t>
      </w:r>
      <w:r>
        <w:rPr>
          <w:iCs/>
          <w:i/>
        </w:rPr>
        <w:t xml:space="preserve">shape</w:t>
      </w:r>
      <w:r>
        <w:t xml:space="preserve"> </w:t>
      </w:r>
      <w:r>
        <w:t xml:space="preserve">— it lives in space and has geometric structure</w:t>
      </w:r>
      <w:r>
        <w:t xml:space="preserve"> </w:t>
      </w:r>
      <w:r>
        <w:t xml:space="preserve">— and there is a field of maths,</w:t>
      </w:r>
      <w:r>
        <w:t xml:space="preserve"> </w:t>
      </w:r>
      <w:r>
        <w:rPr>
          <w:iCs/>
          <w:i/>
        </w:rPr>
        <w:t xml:space="preserve">topology</w:t>
      </w:r>
      <w:r>
        <w:t xml:space="preserve"> </w:t>
      </w:r>
      <w:r>
        <w:t xml:space="preserve">(specifically</w:t>
      </w:r>
      <w:r>
        <w:t xml:space="preserve"> </w:t>
      </w:r>
      <w:r>
        <w:rPr>
          <w:iCs/>
          <w:i/>
        </w:rPr>
        <w:t xml:space="preserve">persistent homology</w:t>
      </w:r>
      <w:r>
        <w:t xml:space="preserve">), whose whole job is</w:t>
      </w:r>
      <w:r>
        <w:t xml:space="preserve"> </w:t>
      </w:r>
      <w:r>
        <w:t xml:space="preserve">to describe shape. So we asked two questions: (1) if we replace the heavy diffusion/flow head with a</w:t>
      </w:r>
      <w:r>
        <w:t xml:space="preserve"> </w:t>
      </w:r>
      <w:r>
        <w:t xml:space="preserve">light DeepONet operator head, do we keep the accuracy while getting a smaller and faster model? and</w:t>
      </w:r>
      <w:r>
        <w:t xml:space="preserve"> </w:t>
      </w:r>
      <w:r>
        <w:t xml:space="preserve">(2) if we add a topology-based loss that asks the predicted motion to have the same</w:t>
      </w:r>
      <w:r>
        <w:t xml:space="preserve"> </w:t>
      </w:r>
      <w:r>
        <w:rPr>
          <w:iCs/>
          <w:i/>
        </w:rPr>
        <w:t xml:space="preserve">shape</w:t>
      </w:r>
      <w:r>
        <w:t xml:space="preserve"> </w:t>
      </w:r>
      <w:r>
        <w:t xml:space="preserve">as the</w:t>
      </w:r>
      <w:r>
        <w:t xml:space="preserve"> </w:t>
      </w:r>
      <w:r>
        <w:t xml:space="preserve">expert’s, does the robot become more reliable when the world changes?</w:t>
      </w:r>
    </w:p>
    <w:p>
      <w:pPr>
        <w:pStyle w:val="BodyText"/>
      </w:pPr>
      <w:r>
        <w:t xml:space="preserve">We built these as drop-in action heads and compared them fairly against the original heads on the</w:t>
      </w:r>
      <w:r>
        <w:t xml:space="preserve"> </w:t>
      </w:r>
      <w:r>
        <w:t xml:space="preserve">LIBERO benchmark and its harder distribution-shift version, LIBERO-Plus. We ran two full studies —</w:t>
      </w:r>
      <w:r>
        <w:t xml:space="preserve"> </w:t>
      </w:r>
      <w:r>
        <w:t xml:space="preserve">first on</w:t>
      </w:r>
      <w:r>
        <w:t xml:space="preserve"> </w:t>
      </w:r>
      <w:r>
        <w:rPr>
          <w:bCs/>
          <w:b/>
        </w:rPr>
        <w:t xml:space="preserve">SmolVLA</w:t>
      </w:r>
      <w:r>
        <w:t xml:space="preserve">, then on</w:t>
      </w:r>
      <w:r>
        <w:t xml:space="preserve"> </w:t>
      </w:r>
      <w:r>
        <w:rPr>
          <w:bCs/>
          <w:b/>
        </w:rPr>
        <w:t xml:space="preserve">ACT</w:t>
      </w:r>
      <w:r>
        <w:t xml:space="preserve"> </w:t>
      </w:r>
      <w:r>
        <w:t xml:space="preserve">— and their measured numbers and plots are reported in place,</w:t>
      </w:r>
      <w:r>
        <w:t xml:space="preserve"> </w:t>
      </w:r>
      <w:r>
        <w:t xml:space="preserve">right after each study. Two much larger models (</w:t>
      </w:r>
      <w:r>
        <w:rPr>
          <w:bCs/>
          <w:b/>
        </w:rPr>
        <w:t xml:space="preserve">pi0.5</w:t>
      </w:r>
      <w:r>
        <w:t xml:space="preserve"> </w:t>
      </w:r>
      <w:r>
        <w:t xml:space="preserve">and</w:t>
      </w:r>
      <w:r>
        <w:t xml:space="preserve"> </w:t>
      </w:r>
      <w:r>
        <w:rPr>
          <w:bCs/>
          <w:b/>
        </w:rPr>
        <w:t xml:space="preserve">GR00T N1.6</w:t>
      </w:r>
      <w:r>
        <w:t xml:space="preserve">) were added only to</w:t>
      </w:r>
      <w:r>
        <w:t xml:space="preserve"> </w:t>
      </w:r>
      <w:r>
        <w:t xml:space="preserve">compare against the strongest available systems and for completeness; those runs are still going, so</w:t>
      </w:r>
      <w:r>
        <w:t xml:space="preserve"> </w:t>
      </w:r>
      <w:r>
        <w:t xml:space="preserve">their tables are left blank.</w:t>
      </w:r>
    </w:p>
    <w:p>
      <w:pPr>
        <w:pStyle w:val="BodyText"/>
      </w:pPr>
      <w:r>
        <w:t xml:space="preserve">In short: the operator head is much smaller and faster; on ACT it is better on every average</w:t>
      </w:r>
      <w:r>
        <w:t xml:space="preserve"> </w:t>
      </w:r>
      <w:r>
        <w:t xml:space="preserve">measure, and on SmolVLA its clear win is robustness and efficiency while in-distribution accuracy is</w:t>
      </w:r>
      <w:r>
        <w:t xml:space="preserve"> </w:t>
      </w:r>
      <w:r>
        <w:t xml:space="preserve">a statistical tie. The persistent-homology loss, though mathematically attractive, did not help, so</w:t>
      </w:r>
      <w:r>
        <w:t xml:space="preserve"> </w:t>
      </w:r>
      <w:r>
        <w:t xml:space="preserve">we do not recommend it. We report all of this honestly, including where our method does not win.</w:t>
      </w:r>
    </w:p>
    <w:bookmarkEnd w:id="20"/>
    <w:bookmarkStart w:id="23" w:name="introduction-and-motivation"/>
    <w:p>
      <w:pPr>
        <w:pStyle w:val="Heading1"/>
      </w:pPr>
      <w:r>
        <w:t xml:space="preserve">1. Introduction and motivation</w:t>
      </w:r>
    </w:p>
    <w:bookmarkStart w:id="21" w:name="where-the-idea-came-from"/>
    <w:p>
      <w:pPr>
        <w:pStyle w:val="Heading2"/>
      </w:pPr>
      <w:r>
        <w:t xml:space="preserve">1.1 Where the idea came from</w:t>
      </w:r>
    </w:p>
    <w:p>
      <w:pPr>
        <w:pStyle w:val="FirstParagraph"/>
      </w:pPr>
      <w:r>
        <w:t xml:space="preserve">We are students in a Mathematics and Computing department, so when we started reading about robot</w:t>
      </w:r>
      <w:r>
        <w:t xml:space="preserve"> </w:t>
      </w:r>
      <w:r>
        <w:t xml:space="preserve">learning we did not look at it the way a pure robotics person might. We kept seeing two things that</w:t>
      </w:r>
      <w:r>
        <w:t xml:space="preserve"> </w:t>
      </w:r>
      <w:r>
        <w:t xml:space="preserve">felt like they belonged to us.</w:t>
      </w:r>
    </w:p>
    <w:p>
      <w:pPr>
        <w:pStyle w:val="BodyText"/>
      </w:pPr>
      <w:r>
        <w:t xml:space="preserve">The first was the action itself. A robot policy does not usually output one motor command. It outputs</w:t>
      </w:r>
      <w:r>
        <w:t xml:space="preserve"> </w:t>
      </w:r>
      <w:r>
        <w:t xml:space="preserve">a short</w:t>
      </w:r>
      <w:r>
        <w:t xml:space="preserve"> </w:t>
      </w:r>
      <w:r>
        <w:rPr>
          <w:iCs/>
          <w:i/>
        </w:rPr>
        <w:t xml:space="preserve">chunk</w:t>
      </w:r>
      <w:r>
        <w:t xml:space="preserve"> </w:t>
      </w:r>
      <w:r>
        <w:t xml:space="preserve">— for example the next 50 little steps of the arm. If you write the chunk as</w:t>
      </w:r>
      <w:r>
        <w:t xml:space="preserve"> </w:t>
      </w:r>
      <m:oMath>
        <m:r>
          <m:t>a</m:t>
        </m:r>
        <m:r>
          <m:rPr>
            <m:sty m:val="p"/>
          </m:rPr>
          <m:t>(</m:t>
        </m:r>
        <m:r>
          <m:t>τ</m:t>
        </m:r>
        <m:r>
          <m:rPr>
            <m:sty m:val="p"/>
          </m:rPr>
          <m:t>)</m:t>
        </m:r>
      </m:oMath>
      <w:r>
        <w:t xml:space="preserve"> </w:t>
      </w:r>
      <w:r>
        <w:t xml:space="preserve">with</w:t>
      </w:r>
      <w:r>
        <w:t xml:space="preserve"> </w:t>
      </w:r>
      <m:oMath>
        <m:r>
          <m:t>τ</m:t>
        </m:r>
      </m:oMath>
      <w:r>
        <w:t xml:space="preserve"> </w:t>
      </w:r>
      <w:r>
        <w:t xml:space="preserve">running from</w:t>
      </w:r>
      <w:r>
        <w:t xml:space="preserve"> </w:t>
      </w:r>
      <m:oMath>
        <m:r>
          <m:t>0</m:t>
        </m:r>
      </m:oMath>
      <w:r>
        <w:t xml:space="preserve"> </w:t>
      </w:r>
      <w:r>
        <w:t xml:space="preserve">(start) to</w:t>
      </w:r>
      <w:r>
        <w:t xml:space="preserve"> </w:t>
      </w:r>
      <m:oMath>
        <m:r>
          <m:t>1</m:t>
        </m:r>
      </m:oMath>
      <w:r>
        <w:t xml:space="preserve"> </w:t>
      </w:r>
      <w:r>
        <w:t xml:space="preserve">(end), then the model’s real job is to take an observation</w:t>
      </w:r>
      <w:r>
        <w:t xml:space="preserve"> </w:t>
      </w:r>
      <w:r>
        <w:t xml:space="preserve">and return a whole</w:t>
      </w:r>
      <w:r>
        <w:t xml:space="preserve"> </w:t>
      </w:r>
      <w:r>
        <w:rPr>
          <w:iCs/>
          <w:i/>
        </w:rPr>
        <w:t xml:space="preserve">function</w:t>
      </w:r>
      <w:r>
        <w:t xml:space="preserve"> </w:t>
      </w:r>
      <m:oMath>
        <m:r>
          <m:t>a</m:t>
        </m:r>
        <m:r>
          <m:rPr>
            <m:sty m:val="p"/>
          </m:rPr>
          <m:t>(</m:t>
        </m:r>
        <m:r>
          <m:t>τ</m:t>
        </m:r>
        <m:r>
          <m:rPr>
            <m:sty m:val="p"/>
          </m:rPr>
          <m:t>)</m:t>
        </m:r>
      </m:oMath>
      <w:r>
        <w:t xml:space="preserve">. Producing a function from an input is not ordinary regression</w:t>
      </w:r>
      <w:r>
        <w:t xml:space="preserve"> </w:t>
      </w:r>
      <w:r>
        <w:t xml:space="preserve">(vector to vector); it is an</w:t>
      </w:r>
      <w:r>
        <w:t xml:space="preserve"> </w:t>
      </w:r>
      <w:r>
        <w:rPr>
          <w:iCs/>
          <w:i/>
        </w:rPr>
        <w:t xml:space="preserve">operator</w:t>
      </w:r>
      <w:r>
        <w:t xml:space="preserve"> </w:t>
      </w:r>
      <w:r>
        <w:t xml:space="preserve">(a map from inputs to functions). There is a well-known result</w:t>
      </w:r>
      <w:r>
        <w:t xml:space="preserve"> </w:t>
      </w:r>
      <w:r>
        <w:t xml:space="preserve">in mathematics, the universal approximation theorem for operators (Chen and Chen, 1995), and a neural</w:t>
      </w:r>
      <w:r>
        <w:t xml:space="preserve"> </w:t>
      </w:r>
      <w:r>
        <w:t xml:space="preserve">network built directly on it, the DeepONet (Lu et al., 2021). That is a maths paper being used for a</w:t>
      </w:r>
      <w:r>
        <w:t xml:space="preserve"> </w:t>
      </w:r>
      <w:r>
        <w:t xml:space="preserve">robotics problem, which is exactly the kind of bridge we wanted to build.</w:t>
      </w:r>
    </w:p>
    <w:p>
      <w:pPr>
        <w:pStyle w:val="BodyText"/>
      </w:pPr>
      <w:r>
        <w:t xml:space="preserve">The second was that a motion has a</w:t>
      </w:r>
      <w:r>
        <w:t xml:space="preserve"> </w:t>
      </w:r>
      <w:r>
        <w:rPr>
          <w:iCs/>
          <w:i/>
        </w:rPr>
        <w:t xml:space="preserve">shape</w:t>
      </w:r>
      <w:r>
        <w:t xml:space="preserve">. If you plot the sequence of actions as a small cloud of</w:t>
      </w:r>
      <w:r>
        <w:t xml:space="preserve"> </w:t>
      </w:r>
      <w:r>
        <w:t xml:space="preserve">points, an expert demonstration and a clumsy imitation might pass through different exact points but</w:t>
      </w:r>
      <w:r>
        <w:t xml:space="preserve"> </w:t>
      </w:r>
      <w:r>
        <w:t xml:space="preserve">still have very different overall geometry — one smooth and compact, the other jittery and spread out.</w:t>
      </w:r>
      <w:r>
        <w:t xml:space="preserve"> </w:t>
      </w:r>
      <w:r>
        <w:t xml:space="preserve">The standard training loss (mean squared error, MSE) only checks each time step on its own; it never</w:t>
      </w:r>
      <w:r>
        <w:t xml:space="preserve"> </w:t>
      </w:r>
      <w:r>
        <w:t xml:space="preserve">looks at the global shape. Topology, and in particular</w:t>
      </w:r>
      <w:r>
        <w:t xml:space="preserve"> </w:t>
      </w:r>
      <w:r>
        <w:rPr>
          <w:iCs/>
          <w:i/>
        </w:rPr>
        <w:t xml:space="preserve">persistent homology</w:t>
      </w:r>
      <w:r>
        <w:t xml:space="preserve"> </w:t>
      </w:r>
      <w:r>
        <w:t xml:space="preserve">(Edelsbrunner, Letscher</w:t>
      </w:r>
      <w:r>
        <w:t xml:space="preserve"> </w:t>
      </w:r>
      <w:r>
        <w:t xml:space="preserve">and Zomorodian, 2002; Carlsson, 2009), is the mathematics of shape. So we asked whether adding a</w:t>
      </w:r>
      <w:r>
        <w:t xml:space="preserve"> </w:t>
      </w:r>
      <w:r>
        <w:t xml:space="preserve">topology-aware term could make the motion globally more sensible.</w:t>
      </w:r>
    </w:p>
    <w:p>
      <w:pPr>
        <w:pStyle w:val="BodyText"/>
      </w:pPr>
      <w:r>
        <w:t xml:space="preserve">So the whole project is really: take two clean mathematical ideas —</w:t>
      </w:r>
      <w:r>
        <w:t xml:space="preserve"> </w:t>
      </w:r>
      <w:r>
        <w:rPr>
          <w:bCs/>
          <w:b/>
        </w:rPr>
        <w:t xml:space="preserve">operator learning</w:t>
      </w:r>
      <w:r>
        <w:t xml:space="preserve"> </w:t>
      </w:r>
      <w:r>
        <w:t xml:space="preserve">and</w:t>
      </w:r>
      <w:r>
        <w:t xml:space="preserve"> </w:t>
      </w:r>
      <w:r>
        <w:rPr>
          <w:bCs/>
          <w:b/>
        </w:rPr>
        <w:t xml:space="preserve">topology</w:t>
      </w:r>
      <w:r>
        <w:t xml:space="preserve"> </w:t>
      </w:r>
      <w:r>
        <w:t xml:space="preserve">— and see if they help a very practical thing, a robot arm doing tasks it was trained on</w:t>
      </w:r>
      <w:r>
        <w:t xml:space="preserve"> </w:t>
      </w:r>
      <w:r>
        <w:t xml:space="preserve">and tasks where the world has been changed a little.</w:t>
      </w:r>
    </w:p>
    <w:bookmarkEnd w:id="21"/>
    <w:bookmarkStart w:id="22" w:name="what-we-actually-did"/>
    <w:p>
      <w:pPr>
        <w:pStyle w:val="Heading2"/>
      </w:pPr>
      <w:r>
        <w:t xml:space="preserve">1.2 What we actually did</w:t>
      </w:r>
    </w:p>
    <w:p>
      <w:pPr>
        <w:pStyle w:val="FirstParagraph"/>
      </w:pPr>
      <w:r>
        <w:t xml:space="preserve">We took the action head out of several VLA models and replaced it with our own operator head</w:t>
      </w:r>
      <w:r>
        <w:t xml:space="preserve"> </w:t>
      </w:r>
      <w:r>
        <w:t xml:space="preserve">(DeepONet), and separately added a persistent-homology loss, always keeping everything else the same</w:t>
      </w:r>
      <w:r>
        <w:t xml:space="preserve"> </w:t>
      </w:r>
      <w:r>
        <w:t xml:space="preserve">so that any difference comes from the head alone. We trained and evaluated on LIBERO (four task suites)</w:t>
      </w:r>
      <w:r>
        <w:t xml:space="preserve"> </w:t>
      </w:r>
      <w:r>
        <w:t xml:space="preserve">and on LIBERO-Plus (seven kinds of world change). We ran the two full studies on</w:t>
      </w:r>
      <w:r>
        <w:t xml:space="preserve"> </w:t>
      </w:r>
      <w:r>
        <w:rPr>
          <w:bCs/>
          <w:b/>
        </w:rPr>
        <w:t xml:space="preserve">SmolVLA</w:t>
      </w:r>
      <w:r>
        <w:t xml:space="preserve"> </w:t>
      </w:r>
      <w:r>
        <w:t xml:space="preserve">(~450M)</w:t>
      </w:r>
      <w:r>
        <w:t xml:space="preserve"> </w:t>
      </w:r>
      <w:r>
        <w:t xml:space="preserve">and</w:t>
      </w:r>
      <w:r>
        <w:t xml:space="preserve"> </w:t>
      </w:r>
      <w:r>
        <w:rPr>
          <w:bCs/>
          <w:b/>
        </w:rPr>
        <w:t xml:space="preserve">ACT</w:t>
      </w:r>
      <w:r>
        <w:t xml:space="preserve"> </w:t>
      </w:r>
      <w:r>
        <w:t xml:space="preserve">(~88M), then ported the same operator head to</w:t>
      </w:r>
      <w:r>
        <w:t xml:space="preserve"> </w:t>
      </w:r>
      <w:r>
        <w:rPr>
          <w:bCs/>
          <w:b/>
        </w:rPr>
        <w:t xml:space="preserve">pi0.5</w:t>
      </w:r>
      <w:r>
        <w:t xml:space="preserve"> </w:t>
      </w:r>
      <w:r>
        <w:t xml:space="preserve">(~3.3B) and</w:t>
      </w:r>
      <w:r>
        <w:t xml:space="preserve"> </w:t>
      </w:r>
      <w:r>
        <w:rPr>
          <w:bCs/>
          <w:b/>
        </w:rPr>
        <w:t xml:space="preserve">GR00T N1.6</w:t>
      </w:r>
      <w:r>
        <w:t xml:space="preserve"> </w:t>
      </w:r>
      <w:r>
        <w:t xml:space="preserve">(~3B)</w:t>
      </w:r>
      <w:r>
        <w:t xml:space="preserve"> </w:t>
      </w:r>
      <w:r>
        <w:t xml:space="preserve">for a state-of-the-art comparison and completeness. We did not tune the test harness to get a nice</w:t>
      </w:r>
      <w:r>
        <w:t xml:space="preserve"> </w:t>
      </w:r>
      <w:r>
        <w:t xml:space="preserve">answer, and we report whatever the numbers turn out to be.</w:t>
      </w:r>
    </w:p>
    <w:bookmarkEnd w:id="22"/>
    <w:bookmarkEnd w:id="23"/>
    <w:bookmarkStart w:id="28" w:name="background"/>
    <w:p>
      <w:pPr>
        <w:pStyle w:val="Heading1"/>
      </w:pPr>
      <w:r>
        <w:t xml:space="preserve">2. Background</w:t>
      </w:r>
    </w:p>
    <w:bookmarkStart w:id="25" w:name="what-is-a-vision-language-action-model"/>
    <w:p>
      <w:pPr>
        <w:pStyle w:val="Heading2"/>
      </w:pPr>
      <w:r>
        <w:t xml:space="preserve">2.1 What is a vision-language-action model?</w:t>
      </w:r>
    </w:p>
    <w:p>
      <w:pPr>
        <w:pStyle w:val="FirstParagraph"/>
      </w:pPr>
      <w:r>
        <w:t xml:space="preserve">A VLA model is a single neural network that takes what the robot sees (camera images), what it is told</w:t>
      </w:r>
      <w:r>
        <w:t xml:space="preserve"> </w:t>
      </w:r>
      <w:r>
        <w:t xml:space="preserve">to do (a sentence), and where it currently is (arm and gripper state), and outputs the next actions.</w:t>
      </w:r>
      <w:r>
        <w:t xml:space="preserve"> </w:t>
      </w:r>
      <w:r>
        <w:t xml:space="preserve">Figure 1 shows the general picture that all our models follow.</w:t>
      </w:r>
    </w:p>
    <w:p>
      <w:pPr>
        <w:pStyle w:val="CaptionedFigure"/>
      </w:pPr>
      <w:r>
        <w:drawing>
          <wp:inline>
            <wp:extent cx="5334000" cy="2323398"/>
            <wp:effectExtent b="0" l="0" r="0" t="0"/>
            <wp:docPr descr="Figure 1. A vision-language-action model, at a glance. Images, language and robot state go into a large vision-language backbone, which turns them into “prefix tokens”. The action head reads those tokens and produces a short chunk of motion, which the robot executes a few steps of before looking again (receding-horizon control)." title="" id="1" name="Picture"/>
            <a:graphic>
              <a:graphicData uri="http://schemas.openxmlformats.org/drawingml/2006/picture">
                <pic:pic>
                  <pic:nvPicPr>
                    <pic:cNvPr descr="diagrams_emf/fig01_vla_overview.emf" id="0" name="Picture"/>
                    <pic:cNvPicPr>
                      <a:picLocks noChangeArrowheads="1" noChangeAspect="1"/>
                    </pic:cNvPicPr>
                  </pic:nvPicPr>
                  <pic:blipFill>
                    <a:blip r:embed="rId24"/>
                    <a:stretch>
                      <a:fillRect/>
                    </a:stretch>
                  </pic:blipFill>
                  <pic:spPr bwMode="auto">
                    <a:xfrm>
                      <a:off x="0" y="0"/>
                      <a:ext cx="5334000" cy="2323398"/>
                    </a:xfrm>
                    <a:prstGeom prst="rect">
                      <a:avLst/>
                    </a:prstGeom>
                    <a:noFill/>
                    <a:ln w="9525">
                      <a:noFill/>
                      <a:headEnd/>
                      <a:tailEnd/>
                    </a:ln>
                  </pic:spPr>
                </pic:pic>
              </a:graphicData>
            </a:graphic>
          </wp:inline>
        </w:drawing>
      </w:r>
    </w:p>
    <w:p>
      <w:pPr>
        <w:pStyle w:val="ImageCaption"/>
      </w:pPr>
      <w:r>
        <w:t xml:space="preserve">Figure 1. A vision-language-action model, at a glance. Images, language and robot state go into a large vision-language backbone, which turns them into</w:t>
      </w:r>
      <w:r>
        <w:t xml:space="preserve"> </w:t>
      </w:r>
      <w:r>
        <w:t xml:space="preserve">“</w:t>
      </w:r>
      <w:r>
        <w:t xml:space="preserve">prefix tokens</w:t>
      </w:r>
      <w:r>
        <w:t xml:space="preserve">”</w:t>
      </w:r>
      <w:r>
        <w:t xml:space="preserve">. The action head reads those tokens and produces a short chunk of motion, which the robot executes a few steps of before looking again (receding-horizon control).</w:t>
      </w:r>
    </w:p>
    <w:p>
      <w:pPr>
        <w:pStyle w:val="BodyText"/>
      </w:pPr>
      <w:r>
        <w:t xml:space="preserve">The key split for us: the</w:t>
      </w:r>
      <w:r>
        <w:t xml:space="preserve"> </w:t>
      </w:r>
      <w:r>
        <w:rPr>
          <w:bCs/>
          <w:b/>
        </w:rPr>
        <w:t xml:space="preserve">backbone</w:t>
      </w:r>
      <w:r>
        <w:t xml:space="preserve"> </w:t>
      </w:r>
      <w:r>
        <w:t xml:space="preserve">is the big vision-and-language part (taken from a pretrained</w:t>
      </w:r>
      <w:r>
        <w:t xml:space="preserve"> </w:t>
      </w:r>
      <w:r>
        <w:t xml:space="preserve">model), and the</w:t>
      </w:r>
      <w:r>
        <w:t xml:space="preserve"> </w:t>
      </w:r>
      <w:r>
        <w:rPr>
          <w:bCs/>
          <w:b/>
        </w:rPr>
        <w:t xml:space="preserve">action head</w:t>
      </w:r>
      <w:r>
        <w:t xml:space="preserve"> </w:t>
      </w:r>
      <w:r>
        <w:t xml:space="preserve">is the small part that turns the backbone’s understanding into actual</w:t>
      </w:r>
      <w:r>
        <w:t xml:space="preserve"> </w:t>
      </w:r>
      <w:r>
        <w:t xml:space="preserve">motion numbers. The action head is the part we study and replace. Everything except the head is kept</w:t>
      </w:r>
      <w:r>
        <w:t xml:space="preserve"> </w:t>
      </w:r>
      <w:r>
        <w:t xml:space="preserve">identical between the variants we compare, so any difference is due to the head.</w:t>
      </w:r>
    </w:p>
    <w:bookmarkEnd w:id="25"/>
    <w:bookmarkStart w:id="27" w:name="the-benchmark-libero-and-libero-plus"/>
    <w:p>
      <w:pPr>
        <w:pStyle w:val="Heading2"/>
      </w:pPr>
      <w:r>
        <w:t xml:space="preserve">2.2 The benchmark: LIBERO and LIBERO-Plus</w:t>
      </w:r>
    </w:p>
    <w:p>
      <w:pPr>
        <w:pStyle w:val="FirstParagraph"/>
      </w:pPr>
      <w:r>
        <w:t xml:space="preserve">We test on</w:t>
      </w:r>
      <w:r>
        <w:t xml:space="preserve"> </w:t>
      </w:r>
      <w:r>
        <w:rPr>
          <w:bCs/>
          <w:b/>
        </w:rPr>
        <w:t xml:space="preserve">LIBERO</w:t>
      </w:r>
      <w:r>
        <w:t xml:space="preserve">, a standard simulated robot-arm benchmark with four</w:t>
      </w:r>
      <w:r>
        <w:t xml:space="preserve"> </w:t>
      </w:r>
      <w:r>
        <w:rPr>
          <w:iCs/>
          <w:i/>
        </w:rPr>
        <w:t xml:space="preserve">suites</w:t>
      </w:r>
      <w:r>
        <w:t xml:space="preserve"> </w:t>
      </w:r>
      <w:r>
        <w:t xml:space="preserve">of ten tasks each:</w:t>
      </w:r>
      <w:r>
        <w:t xml:space="preserve"> </w:t>
      </w:r>
      <w:r>
        <w:rPr>
          <w:bCs/>
          <w:b/>
        </w:rPr>
        <w:t xml:space="preserve">Spatial</w:t>
      </w:r>
      <w:r>
        <w:t xml:space="preserve"> </w:t>
      </w:r>
      <w:r>
        <w:t xml:space="preserve">(depends on</w:t>
      </w:r>
      <w:r>
        <w:t xml:space="preserve"> </w:t>
      </w:r>
      <w:r>
        <w:rPr>
          <w:iCs/>
          <w:i/>
        </w:rPr>
        <w:t xml:space="preserve">where</w:t>
      </w:r>
      <w:r>
        <w:t xml:space="preserve"> </w:t>
      </w:r>
      <w:r>
        <w:t xml:space="preserve">things are),</w:t>
      </w:r>
      <w:r>
        <w:t xml:space="preserve"> </w:t>
      </w:r>
      <w:r>
        <w:rPr>
          <w:bCs/>
          <w:b/>
        </w:rPr>
        <w:t xml:space="preserve">Object</w:t>
      </w:r>
      <w:r>
        <w:t xml:space="preserve"> </w:t>
      </w:r>
      <w:r>
        <w:t xml:space="preserve">(depends on</w:t>
      </w:r>
      <w:r>
        <w:t xml:space="preserve"> </w:t>
      </w:r>
      <w:r>
        <w:rPr>
          <w:iCs/>
          <w:i/>
        </w:rPr>
        <w:t xml:space="preserve">which</w:t>
      </w:r>
      <w:r>
        <w:t xml:space="preserve"> </w:t>
      </w:r>
      <w:r>
        <w:t xml:space="preserve">object),</w:t>
      </w:r>
      <w:r>
        <w:t xml:space="preserve"> </w:t>
      </w:r>
      <w:r>
        <w:rPr>
          <w:bCs/>
          <w:b/>
        </w:rPr>
        <w:t xml:space="preserve">Goal</w:t>
      </w:r>
      <w:r>
        <w:t xml:space="preserve"> </w:t>
      </w:r>
      <w:r>
        <w:t xml:space="preserve">(explicit goal), and</w:t>
      </w:r>
      <w:r>
        <w:t xml:space="preserve"> </w:t>
      </w:r>
      <w:r>
        <w:rPr>
          <w:bCs/>
          <w:b/>
        </w:rPr>
        <w:t xml:space="preserve">Long</w:t>
      </w:r>
      <w:r>
        <w:t xml:space="preserve"> </w:t>
      </w:r>
      <w:r>
        <w:t xml:space="preserve">(long-horizon tasks that chain several steps; the hardest). For</w:t>
      </w:r>
      <w:r>
        <w:t xml:space="preserve"> </w:t>
      </w:r>
      <w:r>
        <w:t xml:space="preserve">robustness we use</w:t>
      </w:r>
      <w:r>
        <w:t xml:space="preserve"> </w:t>
      </w:r>
      <w:r>
        <w:rPr>
          <w:bCs/>
          <w:b/>
        </w:rPr>
        <w:t xml:space="preserve">LIBERO-Plus</w:t>
      </w:r>
      <w:r>
        <w:t xml:space="preserve">, which perturbs the same tasks in seven ways (Figure 12). A model is</w:t>
      </w:r>
      <w:r>
        <w:t xml:space="preserve"> </w:t>
      </w:r>
      <w:r>
        <w:t xml:space="preserve">trained on the normal world and tested on each perturbed version it has never seen; the robustness</w:t>
      </w:r>
      <w:r>
        <w:t xml:space="preserve"> </w:t>
      </w:r>
      <w:r>
        <w:t xml:space="preserve">score is the average success over the seven categories.</w:t>
      </w:r>
    </w:p>
    <w:p>
      <w:pPr>
        <w:pStyle w:val="CaptionedFigure"/>
      </w:pPr>
      <w:r>
        <w:drawing>
          <wp:inline>
            <wp:extent cx="5334000" cy="1790322"/>
            <wp:effectExtent b="0" l="0" r="0" t="0"/>
            <wp:docPr descr="Figure 12. LIBERO-Plus changes the world in seven ways to test out-of-distribution robustness: camera viewpoint, lighting, sensor noise, background textures, object layout, robot initial state, and the wording of the instruction." title="" id="1" name="Picture"/>
            <a:graphic>
              <a:graphicData uri="http://schemas.openxmlformats.org/drawingml/2006/picture">
                <pic:pic>
                  <pic:nvPicPr>
                    <pic:cNvPr descr="diagrams_emf/fig12_libero_plus.emf" id="0" name="Picture"/>
                    <pic:cNvPicPr>
                      <a:picLocks noChangeArrowheads="1" noChangeAspect="1"/>
                    </pic:cNvPicPr>
                  </pic:nvPicPr>
                  <pic:blipFill>
                    <a:blip r:embed="rId26"/>
                    <a:stretch>
                      <a:fillRect/>
                    </a:stretch>
                  </pic:blipFill>
                  <pic:spPr bwMode="auto">
                    <a:xfrm>
                      <a:off x="0" y="0"/>
                      <a:ext cx="5334000" cy="1790322"/>
                    </a:xfrm>
                    <a:prstGeom prst="rect">
                      <a:avLst/>
                    </a:prstGeom>
                    <a:noFill/>
                    <a:ln w="9525">
                      <a:noFill/>
                      <a:headEnd/>
                      <a:tailEnd/>
                    </a:ln>
                  </pic:spPr>
                </pic:pic>
              </a:graphicData>
            </a:graphic>
          </wp:inline>
        </w:drawing>
      </w:r>
    </w:p>
    <w:p>
      <w:pPr>
        <w:pStyle w:val="ImageCaption"/>
      </w:pPr>
      <w:r>
        <w:t xml:space="preserve">Figure 12. LIBERO-Plus changes the world in seven ways to test out-of-distribution robustness: camera viewpoint, lighting, sensor noise, background textures, object layout, robot initial state, and the wording of the instruction.</w:t>
      </w:r>
    </w:p>
    <w:p>
      <w:pPr>
        <w:pStyle w:val="BodyText"/>
      </w:pPr>
      <w:r>
        <w:t xml:space="preserve">Throughout, we measure</w:t>
      </w:r>
      <w:r>
        <w:t xml:space="preserve"> </w:t>
      </w:r>
      <w:r>
        <w:rPr>
          <w:bCs/>
          <w:b/>
        </w:rPr>
        <w:t xml:space="preserve">in-distribution accuracy</w:t>
      </w:r>
      <w:r>
        <w:t xml:space="preserve">,</w:t>
      </w:r>
      <w:r>
        <w:t xml:space="preserve"> </w:t>
      </w:r>
      <w:r>
        <w:rPr>
          <w:bCs/>
          <w:b/>
        </w:rPr>
        <w:t xml:space="preserve">robustness</w:t>
      </w:r>
      <w:r>
        <w:t xml:space="preserve"> </w:t>
      </w:r>
      <w:r>
        <w:t xml:space="preserve">(LIBERO-Plus, averaged over the</w:t>
      </w:r>
      <w:r>
        <w:t xml:space="preserve"> </w:t>
      </w:r>
      <w:r>
        <w:t xml:space="preserve">seven categories and also broken down per category), the</w:t>
      </w:r>
      <w:r>
        <w:t xml:space="preserve"> </w:t>
      </w:r>
      <w:r>
        <w:rPr>
          <w:bCs/>
          <w:b/>
        </w:rPr>
        <w:t xml:space="preserve">action-head parameter count</w:t>
      </w:r>
      <w:r>
        <w:t xml:space="preserve">, and the</w:t>
      </w:r>
      <w:r>
        <w:t xml:space="preserve"> </w:t>
      </w:r>
      <w:r>
        <w:rPr>
          <w:bCs/>
          <w:b/>
        </w:rPr>
        <w:t xml:space="preserve">inference latency</w:t>
      </w:r>
      <w:r>
        <w:t xml:space="preserve">.</w:t>
      </w:r>
    </w:p>
    <w:bookmarkEnd w:id="27"/>
    <w:bookmarkEnd w:id="28"/>
    <w:bookmarkStart w:id="34" w:name="the-two-mathematical-ideas"/>
    <w:p>
      <w:pPr>
        <w:pStyle w:val="Heading1"/>
      </w:pPr>
      <w:r>
        <w:t xml:space="preserve">3. The two mathematical ideas</w:t>
      </w:r>
    </w:p>
    <w:bookmarkStart w:id="31" w:name="X833b999d3ce64d2ab1062788262ab695bea9b09"/>
    <w:p>
      <w:pPr>
        <w:pStyle w:val="Heading2"/>
      </w:pPr>
      <w:r>
        <w:t xml:space="preserve">3.1 Persistent homology (topology of a trajectory)</w:t>
      </w:r>
    </w:p>
    <w:p>
      <w:pPr>
        <w:pStyle w:val="FirstParagraph"/>
      </w:pPr>
      <w:r>
        <w:t xml:space="preserve">Persistent homology comes from topological data analysis. It describes the</w:t>
      </w:r>
      <w:r>
        <w:t xml:space="preserve"> </w:t>
      </w:r>
      <w:r>
        <w:rPr>
          <w:iCs/>
          <w:i/>
        </w:rPr>
        <w:t xml:space="preserve">shape</w:t>
      </w:r>
      <w:r>
        <w:t xml:space="preserve"> </w:t>
      </w:r>
      <w:r>
        <w:t xml:space="preserve">of a set of points:</w:t>
      </w:r>
      <w:r>
        <w:t xml:space="preserve"> </w:t>
      </w:r>
      <w:r>
        <w:t xml:space="preserve">how many separate clusters, whether there are loops or holes, and how</w:t>
      </w:r>
      <w:r>
        <w:t xml:space="preserve"> </w:t>
      </w:r>
      <w:r>
        <w:t xml:space="preserve">“</w:t>
      </w:r>
      <w:r>
        <w:t xml:space="preserve">big</w:t>
      </w:r>
      <w:r>
        <w:t xml:space="preserve">”</w:t>
      </w:r>
      <w:r>
        <w:t xml:space="preserve"> </w:t>
      </w:r>
      <w:r>
        <w:t xml:space="preserve">these features are. Imagine</w:t>
      </w:r>
      <w:r>
        <w:t xml:space="preserve"> </w:t>
      </w:r>
      <w:r>
        <w:t xml:space="preserve">growing little balls around each point; as they grow, points connect, clusters merge, loops appear and</w:t>
      </w:r>
      <w:r>
        <w:t xml:space="preserve"> </w:t>
      </w:r>
      <w:r>
        <w:t xml:space="preserve">disappear. Features that survive over a wide range of ball sizes are</w:t>
      </w:r>
      <w:r>
        <w:t xml:space="preserve"> </w:t>
      </w:r>
      <w:r>
        <w:t xml:space="preserve">“</w:t>
      </w:r>
      <w:r>
        <w:t xml:space="preserve">persistent</w:t>
      </w:r>
      <w:r>
        <w:t xml:space="preserve">”</w:t>
      </w:r>
      <w:r>
        <w:t xml:space="preserve"> </w:t>
      </w:r>
      <w:r>
        <w:t xml:space="preserve">(real); short-lived</w:t>
      </w:r>
      <w:r>
        <w:t xml:space="preserve"> </w:t>
      </w:r>
      <w:r>
        <w:t xml:space="preserve">ones are noise.</w:t>
      </w:r>
    </w:p>
    <w:p>
      <w:pPr>
        <w:pStyle w:val="BodyText"/>
      </w:pPr>
      <w:r>
        <w:t xml:space="preserve">For a robot, think of one predicted action chunk as a cloud of points (one per time step); the expert’s</w:t>
      </w:r>
      <w:r>
        <w:t xml:space="preserve"> </w:t>
      </w:r>
      <w:r>
        <w:t xml:space="preserve">chunk is another cloud. MSE compares them point by point, but persistent homology compares their</w:t>
      </w:r>
      <w:r>
        <w:t xml:space="preserve"> </w:t>
      </w:r>
      <w:r>
        <w:rPr>
          <w:iCs/>
          <w:i/>
        </w:rPr>
        <w:t xml:space="preserve">overall shape</w:t>
      </w:r>
      <w:r>
        <w:t xml:space="preserve"> </w:t>
      </w:r>
      <w:r>
        <w:t xml:space="preserve">(Figure 4).</w:t>
      </w:r>
    </w:p>
    <w:p>
      <w:pPr>
        <w:pStyle w:val="CaptionedFigure"/>
      </w:pPr>
      <w:r>
        <w:drawing>
          <wp:inline>
            <wp:extent cx="5120640" cy="2230462"/>
            <wp:effectExtent b="0" l="0" r="0" t="0"/>
            <wp:docPr descr="Figure 4. The persistent-homology idea. We treat the predicted and expert action chunks each as a small cloud of points, measure the pattern of pairwise distances (a “topological fingerprint”), and ask the two fingerprints to match. This looks at the global shape of the motion, not each time step on its own." title="" id="1" name="Picture"/>
            <a:graphic>
              <a:graphicData uri="http://schemas.openxmlformats.org/drawingml/2006/picture">
                <pic:pic>
                  <pic:nvPicPr>
                    <pic:cNvPr descr="diagrams_emf/fig04_ph_idea.emf" id="0" name="Picture"/>
                    <pic:cNvPicPr>
                      <a:picLocks noChangeArrowheads="1" noChangeAspect="1"/>
                    </pic:cNvPicPr>
                  </pic:nvPicPr>
                  <pic:blipFill>
                    <a:blip r:embed="rId29"/>
                    <a:stretch>
                      <a:fillRect/>
                    </a:stretch>
                  </pic:blipFill>
                  <pic:spPr bwMode="auto">
                    <a:xfrm>
                      <a:off x="0" y="0"/>
                      <a:ext cx="5120640" cy="2230462"/>
                    </a:xfrm>
                    <a:prstGeom prst="rect">
                      <a:avLst/>
                    </a:prstGeom>
                    <a:noFill/>
                    <a:ln w="9525">
                      <a:noFill/>
                      <a:headEnd/>
                      <a:tailEnd/>
                    </a:ln>
                  </pic:spPr>
                </pic:pic>
              </a:graphicData>
            </a:graphic>
          </wp:inline>
        </w:drawing>
      </w:r>
    </w:p>
    <w:p>
      <w:pPr>
        <w:pStyle w:val="ImageCaption"/>
      </w:pPr>
      <w:r>
        <w:t xml:space="preserve">Figure 4. The persistent-homology idea. We treat the predicted and expert action chunks each as a small cloud of points, measure the pattern of pairwise distances (a</w:t>
      </w:r>
      <w:r>
        <w:t xml:space="preserve"> </w:t>
      </w:r>
      <w:r>
        <w:t xml:space="preserve">“</w:t>
      </w:r>
      <w:r>
        <w:t xml:space="preserve">topological fingerprint</w:t>
      </w:r>
      <w:r>
        <w:t xml:space="preserve">”</w:t>
      </w:r>
      <w:r>
        <w:t xml:space="preserve">), and ask the two fingerprints to match. This looks at the global shape of the motion, not each time step on its own.</w:t>
      </w:r>
    </w:p>
    <w:p>
      <w:pPr>
        <w:pStyle w:val="BodyText"/>
      </w:pPr>
      <w:r>
        <w:t xml:space="preserve">Computing true persistent homology every training step is slow and its gradient is awkward, so we use a</w:t>
      </w:r>
      <w:r>
        <w:t xml:space="preserve"> </w:t>
      </w:r>
      <w:r>
        <w:t xml:space="preserve">cheap, differentiable</w:t>
      </w:r>
      <w:r>
        <w:t xml:space="preserve"> </w:t>
      </w:r>
      <w:r>
        <w:rPr>
          <w:iCs/>
          <w:i/>
        </w:rPr>
        <w:t xml:space="preserve">surrogate</w:t>
      </w:r>
      <w:r>
        <w:t xml:space="preserve">: take the sorted top-</w:t>
      </w:r>
      <m:oMath>
        <m:r>
          <m:t>k</m:t>
        </m:r>
      </m:oMath>
      <w:r>
        <w:t xml:space="preserve"> </w:t>
      </w:r>
      <w:r>
        <w:t xml:space="preserve">largest pairwise distances of the predicted</w:t>
      </w:r>
      <w:r>
        <w:t xml:space="preserve"> </w:t>
      </w:r>
      <w:r>
        <w:t xml:space="preserve">and expert chunks (the</w:t>
      </w:r>
      <w:r>
        <w:t xml:space="preserve"> </w:t>
      </w:r>
      <w:r>
        <w:t xml:space="preserve">“</w:t>
      </w:r>
      <w:r>
        <w:t xml:space="preserve">fingerprint</w:t>
      </w:r>
      <w:r>
        <w:t xml:space="preserve">”</w:t>
      </w:r>
      <w:r>
        <w:t xml:space="preserve">) and penalise their difference. It is quick, differentiable, and</w:t>
      </w:r>
      <w:r>
        <w:t xml:space="preserve"> </w:t>
      </w:r>
      <w:r>
        <w:t xml:space="preserve">captures multi-scale spread. We compute it only over the real action dimensions, and only during</w:t>
      </w:r>
      <w:r>
        <w:t xml:space="preserve"> </w:t>
      </w:r>
      <w:r>
        <w:t xml:space="preserve">training (Figure 5) — at test time it does nothing, so it never slows the robot down.</w:t>
      </w:r>
    </w:p>
    <w:p>
      <w:pPr>
        <w:pStyle w:val="CaptionedFigure"/>
      </w:pPr>
      <w:r>
        <w:drawing>
          <wp:inline>
            <wp:extent cx="5120640" cy="1763110"/>
            <wp:effectExtent b="0" l="0" r="0" t="0"/>
            <wp:docPr descr="Figure 5. The persistent-homology loss is an extra training-time term: total = MSE + lambda*PH. Inference uses only the action head, so there is no extra cost at test time." title="" id="1" name="Picture"/>
            <a:graphic>
              <a:graphicData uri="http://schemas.openxmlformats.org/drawingml/2006/picture">
                <pic:pic>
                  <pic:nvPicPr>
                    <pic:cNvPr descr="diagrams_emf/fig05_ph_plug.emf" id="0" name="Picture"/>
                    <pic:cNvPicPr>
                      <a:picLocks noChangeArrowheads="1" noChangeAspect="1"/>
                    </pic:cNvPicPr>
                  </pic:nvPicPr>
                  <pic:blipFill>
                    <a:blip r:embed="rId30"/>
                    <a:stretch>
                      <a:fillRect/>
                    </a:stretch>
                  </pic:blipFill>
                  <pic:spPr bwMode="auto">
                    <a:xfrm>
                      <a:off x="0" y="0"/>
                      <a:ext cx="5120640" cy="1763110"/>
                    </a:xfrm>
                    <a:prstGeom prst="rect">
                      <a:avLst/>
                    </a:prstGeom>
                    <a:noFill/>
                    <a:ln w="9525">
                      <a:noFill/>
                      <a:headEnd/>
                      <a:tailEnd/>
                    </a:ln>
                  </pic:spPr>
                </pic:pic>
              </a:graphicData>
            </a:graphic>
          </wp:inline>
        </w:drawing>
      </w:r>
    </w:p>
    <w:p>
      <w:pPr>
        <w:pStyle w:val="ImageCaption"/>
      </w:pPr>
      <w:r>
        <w:t xml:space="preserve">Figure 5. The persistent-homology loss is an extra training-time term: total = MSE + lambda*PH. Inference uses only the action head, so there is no extra cost at test time.</w:t>
      </w:r>
    </w:p>
    <w:bookmarkEnd w:id="31"/>
    <w:bookmarkStart w:id="33" w:name="X19a0966b5a3d1aa682bbb5b0cc763a7ba4cedcf"/>
    <w:p>
      <w:pPr>
        <w:pStyle w:val="Heading2"/>
      </w:pPr>
      <w:r>
        <w:t xml:space="preserve">3.2 DeepONet (operator learning), and why cross-attention</w:t>
      </w:r>
    </w:p>
    <w:p>
      <w:pPr>
        <w:pStyle w:val="FirstParagraph"/>
      </w:pPr>
      <w:r>
        <w:t xml:space="preserve">An ordinary network maps a vector to a vector. A DeepONet maps an input to a whole</w:t>
      </w:r>
      <w:r>
        <w:t xml:space="preserve"> </w:t>
      </w:r>
      <w:r>
        <w:rPr>
          <w:iCs/>
          <w:i/>
        </w:rPr>
        <w:t xml:space="preserve">function</w:t>
      </w:r>
      <w:r>
        <w:t xml:space="preserve">, using</w:t>
      </w:r>
      <w:r>
        <w:t xml:space="preserve"> </w:t>
      </w:r>
      <w:r>
        <w:t xml:space="preserve">two sub-networks: a</w:t>
      </w:r>
      <w:r>
        <w:t xml:space="preserve"> </w:t>
      </w:r>
      <w:r>
        <w:rPr>
          <w:bCs/>
          <w:b/>
        </w:rPr>
        <w:t xml:space="preserve">branch</w:t>
      </w:r>
      <w:r>
        <w:t xml:space="preserve"> </w:t>
      </w:r>
      <w:r>
        <w:t xml:space="preserve">that reads the observation and outputs coefficients</w:t>
      </w:r>
      <w:r>
        <w:t xml:space="preserve"> </w:t>
      </w:r>
      <m:oMath>
        <m:r>
          <m:t>c</m:t>
        </m:r>
      </m:oMath>
      <w:r>
        <w:t xml:space="preserve">, and a</w:t>
      </w:r>
      <w:r>
        <w:t xml:space="preserve"> </w:t>
      </w:r>
      <w:r>
        <w:rPr>
          <w:bCs/>
          <w:b/>
        </w:rPr>
        <w:t xml:space="preserve">trunk</w:t>
      </w:r>
      <w:r>
        <w:t xml:space="preserve"> </w:t>
      </w:r>
      <w:r>
        <w:t xml:space="preserve">that reads a query time</w:t>
      </w:r>
      <w:r>
        <w:t xml:space="preserve"> </w:t>
      </w:r>
      <m:oMath>
        <m:r>
          <m:t>τ</m:t>
        </m:r>
        <m:r>
          <m:rPr>
            <m:sty m:val="p"/>
          </m:rPr>
          <m:t>∈</m:t>
        </m:r>
        <m:r>
          <m:rPr>
            <m:sty m:val="p"/>
          </m:rPr>
          <m:t>[</m:t>
        </m:r>
        <m:r>
          <m:t>0</m:t>
        </m:r>
        <m:r>
          <m:rPr>
            <m:sty m:val="p"/>
          </m:rPr>
          <m:t>,</m:t>
        </m:r>
        <m:r>
          <m:t>1</m:t>
        </m:r>
        <m:r>
          <m:rPr>
            <m:sty m:val="p"/>
          </m:rPr>
          <m:t>]</m:t>
        </m:r>
      </m:oMath>
      <w:r>
        <w:t xml:space="preserve"> </w:t>
      </w:r>
      <w:r>
        <w:t xml:space="preserve">and outputs basis values</w:t>
      </w:r>
      <w:r>
        <w:t xml:space="preserve"> </w:t>
      </w:r>
      <m:oMath>
        <m:r>
          <m:t>φ</m:t>
        </m:r>
        <m:r>
          <m:rPr>
            <m:sty m:val="p"/>
          </m:rPr>
          <m:t>(</m:t>
        </m:r>
        <m:r>
          <m:t>τ</m:t>
        </m:r>
        <m:r>
          <m:rPr>
            <m:sty m:val="p"/>
          </m:rPr>
          <m:t>)</m:t>
        </m:r>
      </m:oMath>
      <w:r>
        <w:t xml:space="preserve">. The predicted motion</w:t>
      </w:r>
      <w:r>
        <w:t xml:space="preserve"> </w:t>
      </w:r>
      <w:r>
        <w:t xml:space="preserve">is</w:t>
      </w:r>
    </w:p>
    <w:p>
      <w:pPr>
        <w:pStyle w:val="BodyText"/>
      </w:pPr>
      <m:oMathPara>
        <m:oMathParaPr>
          <m:jc m:val="center"/>
        </m:oMathParaPr>
        <m:oMath>
          <m:r>
            <m:t>a</m:t>
          </m:r>
          <m:r>
            <m:rPr>
              <m:sty m:val="p"/>
            </m:rPr>
            <m:t>(</m:t>
          </m:r>
          <m:r>
            <m:t>τ</m:t>
          </m:r>
          <m:r>
            <m:rPr>
              <m:sty m:val="p"/>
            </m:rPr>
            <m:t>)</m:t>
          </m:r>
          <m:r>
            <m:t> </m:t>
          </m:r>
          <m:r>
            <m:rPr>
              <m:sty m:val="p"/>
            </m:rPr>
            <m:t>≈</m:t>
          </m:r>
          <m:r>
            <m:t> </m:t>
          </m:r>
          <m:r>
            <m:rPr>
              <m:nor/>
              <m:sty m:val="p"/>
            </m:rPr>
            <m:t>OutMLP</m:t>
          </m:r>
          <m:r>
            <m:rPr>
              <m:sty m:val="p"/>
            </m:rPr>
            <m:t>(</m:t>
          </m:r>
          <m:r>
            <m:t> </m:t>
          </m:r>
          <m:r>
            <m:t>c</m:t>
          </m:r>
          <m:r>
            <m:rPr>
              <m:sty m:val="p"/>
            </m:rPr>
            <m:t>⊙</m:t>
          </m:r>
          <m:r>
            <m:t>φ</m:t>
          </m:r>
          <m:r>
            <m:rPr>
              <m:sty m:val="p"/>
            </m:rPr>
            <m:t>(</m:t>
          </m:r>
          <m:r>
            <m:t>τ</m:t>
          </m:r>
          <m:r>
            <m:rPr>
              <m:sty m:val="p"/>
            </m:rPr>
            <m:t>)</m:t>
          </m:r>
          <m:r>
            <m:t> </m:t>
          </m:r>
          <m:r>
            <m:rPr>
              <m:sty m:val="p"/>
            </m:rPr>
            <m:t>)</m:t>
          </m:r>
          <m:r>
            <m:rPr>
              <m:sty m:val="p"/>
            </m:rPr>
            <m:t>,</m:t>
          </m:r>
        </m:oMath>
      </m:oMathPara>
    </w:p>
    <w:p>
      <w:pPr>
        <w:pStyle w:val="FirstParagraph"/>
      </w:pPr>
      <w:r>
        <w:t xml:space="preserve">where</w:t>
      </w:r>
      <w:r>
        <w:t xml:space="preserve"> </w:t>
      </w:r>
      <m:oMath>
        <m:r>
          <m:rPr>
            <m:sty m:val="p"/>
          </m:rPr>
          <m:t>⊙</m:t>
        </m:r>
      </m:oMath>
      <w:r>
        <w:t xml:space="preserve"> </w:t>
      </w:r>
      <w:r>
        <w:t xml:space="preserve">is element-wise multiplication. The branch decides</w:t>
      </w:r>
      <w:r>
        <w:t xml:space="preserve"> </w:t>
      </w:r>
      <w:r>
        <w:rPr>
          <w:iCs/>
          <w:i/>
        </w:rPr>
        <w:t xml:space="preserve">what to do</w:t>
      </w:r>
      <w:r>
        <w:t xml:space="preserve">; the trunk gives</w:t>
      </w:r>
      <w:r>
        <w:t xml:space="preserve"> </w:t>
      </w:r>
      <w:r>
        <w:t xml:space="preserve">time-shapes; multiplying combines the</w:t>
      </w:r>
      <w:r>
        <w:t xml:space="preserve"> </w:t>
      </w:r>
      <w:r>
        <w:t xml:space="preserve">“</w:t>
      </w:r>
      <w:r>
        <w:t xml:space="preserve">what</w:t>
      </w:r>
      <w:r>
        <w:t xml:space="preserve">”</w:t>
      </w:r>
      <w:r>
        <w:t xml:space="preserve"> </w:t>
      </w:r>
      <w:r>
        <w:t xml:space="preserve">with the</w:t>
      </w:r>
      <w:r>
        <w:t xml:space="preserve"> </w:t>
      </w:r>
      <w:r>
        <w:t xml:space="preserve">“</w:t>
      </w:r>
      <w:r>
        <w:t xml:space="preserve">when</w:t>
      </w:r>
      <w:r>
        <w:t xml:space="preserve">”</w:t>
      </w:r>
      <w:r>
        <w:t xml:space="preserve">. This is backed by a universal</w:t>
      </w:r>
      <w:r>
        <w:t xml:space="preserve"> </w:t>
      </w:r>
      <w:r>
        <w:t xml:space="preserve">approximation theorem for operators, and the whole chunk comes out in</w:t>
      </w:r>
      <w:r>
        <w:t xml:space="preserve"> </w:t>
      </w:r>
      <w:r>
        <w:rPr>
          <w:bCs/>
          <w:b/>
        </w:rPr>
        <w:t xml:space="preserve">one forward pass</w:t>
      </w:r>
      <w:r>
        <w:t xml:space="preserve"> </w:t>
      </w:r>
      <w:r>
        <w:t xml:space="preserve">— no</w:t>
      </w:r>
      <w:r>
        <w:t xml:space="preserve"> </w:t>
      </w:r>
      <w:r>
        <w:t xml:space="preserve">denoising loop — so the head is small (~10-11M parameters) and fast.</w:t>
      </w:r>
    </w:p>
    <w:p>
      <w:pPr>
        <w:pStyle w:val="BodyText"/>
      </w:pPr>
      <w:r>
        <w:rPr>
          <w:bCs/>
          <w:b/>
        </w:rPr>
        <w:t xml:space="preserve">Why the cross-attention pooler.</w:t>
      </w:r>
      <w:r>
        <w:t xml:space="preserve"> </w:t>
      </w:r>
      <w:r>
        <w:t xml:space="preserve">For the branch to decide</w:t>
      </w:r>
      <w:r>
        <w:t xml:space="preserve"> </w:t>
      </w:r>
      <w:r>
        <w:rPr>
          <w:iCs/>
          <w:i/>
        </w:rPr>
        <w:t xml:space="preserve">what to do</w:t>
      </w:r>
      <w:r>
        <w:t xml:space="preserve">, it first has to</w:t>
      </w:r>
      <w:r>
        <w:t xml:space="preserve"> </w:t>
      </w:r>
      <w:r>
        <w:rPr>
          <w:iCs/>
          <w:i/>
        </w:rPr>
        <w:t xml:space="preserve">see</w:t>
      </w:r>
      <w:r>
        <w:t xml:space="preserve"> </w:t>
      </w:r>
      <w:r>
        <w:t xml:space="preserve">the</w:t>
      </w:r>
      <w:r>
        <w:t xml:space="preserve"> </w:t>
      </w:r>
      <w:r>
        <w:t xml:space="preserve">observation well. The backbone hands us a long sequence of tokens — one for each image patch and each</w:t>
      </w:r>
      <w:r>
        <w:t xml:space="preserve"> </w:t>
      </w:r>
      <w:r>
        <w:t xml:space="preserve">word. A simple way to summarise them is to average them into a single vector, but averaging blurs</w:t>
      </w:r>
      <w:r>
        <w:t xml:space="preserve"> </w:t>
      </w:r>
      <w:r>
        <w:t xml:space="preserve">everything together and loses</w:t>
      </w:r>
      <w:r>
        <w:t xml:space="preserve"> </w:t>
      </w:r>
      <w:r>
        <w:rPr>
          <w:iCs/>
          <w:i/>
        </w:rPr>
        <w:t xml:space="preserve">where</w:t>
      </w:r>
      <w:r>
        <w:t xml:space="preserve"> </w:t>
      </w:r>
      <w:r>
        <w:t xml:space="preserve">things are, which is exactly what a spatial task needs (is the</w:t>
      </w:r>
      <w:r>
        <w:t xml:space="preserve"> </w:t>
      </w:r>
      <w:r>
        <w:t xml:space="preserve">bowl on the stove or in the cabinet?). Instead we use a small</w:t>
      </w:r>
      <w:r>
        <w:t xml:space="preserve"> </w:t>
      </w:r>
      <w:r>
        <w:rPr>
          <w:bCs/>
          <w:b/>
        </w:rPr>
        <w:t xml:space="preserve">cross-attention pooler</w:t>
      </w:r>
      <w:r>
        <w:t xml:space="preserve">: a handful of</w:t>
      </w:r>
      <w:r>
        <w:t xml:space="preserve"> </w:t>
      </w:r>
      <w:r>
        <w:t xml:space="preserve">learned</w:t>
      </w:r>
      <w:r>
        <w:t xml:space="preserve"> </w:t>
      </w:r>
      <w:r>
        <w:t xml:space="preserve">“</w:t>
      </w:r>
      <w:r>
        <w:t xml:space="preserve">query</w:t>
      </w:r>
      <w:r>
        <w:t xml:space="preserve">”</w:t>
      </w:r>
      <w:r>
        <w:t xml:space="preserve"> </w:t>
      </w:r>
      <w:r>
        <w:t xml:space="preserve">vectors look across</w:t>
      </w:r>
      <w:r>
        <w:t xml:space="preserve"> </w:t>
      </w:r>
      <w:r>
        <w:rPr>
          <w:iCs/>
          <w:i/>
        </w:rPr>
        <w:t xml:space="preserve">all</w:t>
      </w:r>
      <w:r>
        <w:t xml:space="preserve"> </w:t>
      </w:r>
      <w:r>
        <w:t xml:space="preserve">of the tokens and each pulls out the piece it cares about</w:t>
      </w:r>
      <w:r>
        <w:t xml:space="preserve"> </w:t>
      </w:r>
      <w:r>
        <w:t xml:space="preserve">(Perceiver-style). This lets the DeepONet head look at the whole input properly and keep the spatial</w:t>
      </w:r>
      <w:r>
        <w:t xml:space="preserve"> </w:t>
      </w:r>
      <w:r>
        <w:t xml:space="preserve">detail — it can attend to the exact object and location that matter — before the branch turns that into</w:t>
      </w:r>
      <w:r>
        <w:t xml:space="preserve"> </w:t>
      </w:r>
      <w:r>
        <w:t xml:space="preserve">coefficients. Figure 6 shows the full head.</w:t>
      </w:r>
    </w:p>
    <w:p>
      <w:pPr>
        <w:pStyle w:val="CaptionedFigure"/>
      </w:pPr>
      <w:r>
        <w:drawing>
          <wp:inline>
            <wp:extent cx="5334000" cy="2464712"/>
            <wp:effectExtent b="0" l="0" r="0" t="0"/>
            <wp:docPr descr="Figure 6. Inside the DeepONet operator action head. The branch (top) reads the prefix tokens through a cross-attention pooler (which lets the head see the whole input and keep spatial detail) and a small MLP that outputs coefficients c. The trunk (bottom) turns the query time into Fourier features and outputs basis values. Their element-wise product goes through an output MLP to give the whole action chunk in one pass." title="" id="1" name="Picture"/>
            <a:graphic>
              <a:graphicData uri="http://schemas.openxmlformats.org/drawingml/2006/picture">
                <pic:pic>
                  <pic:nvPicPr>
                    <pic:cNvPr descr="diagrams_emf/fig06_deeponet.emf" id="0" name="Picture"/>
                    <pic:cNvPicPr>
                      <a:picLocks noChangeArrowheads="1" noChangeAspect="1"/>
                    </pic:cNvPicPr>
                  </pic:nvPicPr>
                  <pic:blipFill>
                    <a:blip r:embed="rId32"/>
                    <a:stretch>
                      <a:fillRect/>
                    </a:stretch>
                  </pic:blipFill>
                  <pic:spPr bwMode="auto">
                    <a:xfrm>
                      <a:off x="0" y="0"/>
                      <a:ext cx="5334000" cy="2464712"/>
                    </a:xfrm>
                    <a:prstGeom prst="rect">
                      <a:avLst/>
                    </a:prstGeom>
                    <a:noFill/>
                    <a:ln w="9525">
                      <a:noFill/>
                      <a:headEnd/>
                      <a:tailEnd/>
                    </a:ln>
                  </pic:spPr>
                </pic:pic>
              </a:graphicData>
            </a:graphic>
          </wp:inline>
        </w:drawing>
      </w:r>
    </w:p>
    <w:p>
      <w:pPr>
        <w:pStyle w:val="ImageCaption"/>
      </w:pPr>
      <w:r>
        <w:t xml:space="preserve">Figure 6. Inside the DeepONet operator action head. The branch (top) reads the prefix tokens through a cross-attention pooler (which lets the head see the whole input and keep spatial detail) and a small MLP that outputs coefficients c. The trunk (bottom) turns the query time into Fourier features and outputs basis values. Their element-wise product goes through an output MLP to give the whole action chunk in one pass.</w:t>
      </w:r>
    </w:p>
    <w:bookmarkEnd w:id="33"/>
    <w:bookmarkEnd w:id="34"/>
    <w:bookmarkStart w:id="36" w:name="how-every-model-is-trained-and-tested"/>
    <w:p>
      <w:pPr>
        <w:pStyle w:val="Heading1"/>
      </w:pPr>
      <w:r>
        <w:t xml:space="preserve">4. How every model is trained and tested</w:t>
      </w:r>
    </w:p>
    <w:p>
      <w:pPr>
        <w:pStyle w:val="FirstParagraph"/>
      </w:pPr>
      <w:r>
        <w:t xml:space="preserve">Every model follows the same recipe (Figure 11): a pre-training stage on all 40 tasks (four suites</w:t>
      </w:r>
      <w:r>
        <w:t xml:space="preserve"> </w:t>
      </w:r>
      <w:r>
        <w:t xml:space="preserve">together), then a per-suite fine-tuning stage on each suite’s 10 tasks, then evaluation twice — once</w:t>
      </w:r>
      <w:r>
        <w:t xml:space="preserve"> </w:t>
      </w:r>
      <w:r>
        <w:t xml:space="preserve">in-distribution and once on LIBERO-Plus. For the large models (SmolVLA, pi0.5, GR00T) the backbone is</w:t>
      </w:r>
      <w:r>
        <w:t xml:space="preserve"> </w:t>
      </w:r>
      <w:r>
        <w:t xml:space="preserve">frozen and only the head trains; ACT is small enough that the whole model is trained. In every case the</w:t>
      </w:r>
      <w:r>
        <w:t xml:space="preserve"> </w:t>
      </w:r>
      <w:r>
        <w:rPr>
          <w:bCs/>
          <w:b/>
        </w:rPr>
        <w:t xml:space="preserve">only thing that differs between the three variants of a model is the action head</w:t>
      </w:r>
      <w:r>
        <w:t xml:space="preserve">, so the comparison</w:t>
      </w:r>
      <w:r>
        <w:t xml:space="preserve"> </w:t>
      </w:r>
      <w:r>
        <w:t xml:space="preserve">is fair. We use</w:t>
      </w:r>
      <w:r>
        <w:t xml:space="preserve"> </w:t>
      </w:r>
      <w:r>
        <w:rPr>
          <w:bCs/>
          <w:b/>
        </w:rPr>
        <w:t xml:space="preserve">receding-horizon control</w:t>
      </w:r>
      <w:r>
        <w:t xml:space="preserve"> </w:t>
      </w:r>
      <w:r>
        <w:t xml:space="preserve">(predict a chunk, execute a few steps, re-observe) with the</w:t>
      </w:r>
      <w:r>
        <w:t xml:space="preserve"> </w:t>
      </w:r>
      <w:r>
        <w:t xml:space="preserve">same replan interval for everyone, and an exponential moving average of weights for evaluation.</w:t>
      </w:r>
    </w:p>
    <w:p>
      <w:pPr>
        <w:pStyle w:val="CaptionedFigure"/>
      </w:pPr>
      <w:r>
        <w:drawing>
          <wp:inline>
            <wp:extent cx="5334000" cy="1811849"/>
            <wp:effectExtent b="0" l="0" r="0" t="0"/>
            <wp:docPr descr="Figure 11. The training and evaluation protocol, identical for every model: a 40-task pre-training stage, a per-suite fine-tuning stage, then evaluation on the normal tasks and on the seven LIBERO-Plus perturbation categories." title="" id="1" name="Picture"/>
            <a:graphic>
              <a:graphicData uri="http://schemas.openxmlformats.org/drawingml/2006/picture">
                <pic:pic>
                  <pic:nvPicPr>
                    <pic:cNvPr descr="diagrams_emf/fig11_protocol.emf" id="0" name="Picture"/>
                    <pic:cNvPicPr>
                      <a:picLocks noChangeArrowheads="1" noChangeAspect="1"/>
                    </pic:cNvPicPr>
                  </pic:nvPicPr>
                  <pic:blipFill>
                    <a:blip r:embed="rId35"/>
                    <a:stretch>
                      <a:fillRect/>
                    </a:stretch>
                  </pic:blipFill>
                  <pic:spPr bwMode="auto">
                    <a:xfrm>
                      <a:off x="0" y="0"/>
                      <a:ext cx="5334000" cy="1811849"/>
                    </a:xfrm>
                    <a:prstGeom prst="rect">
                      <a:avLst/>
                    </a:prstGeom>
                    <a:noFill/>
                    <a:ln w="9525">
                      <a:noFill/>
                      <a:headEnd/>
                      <a:tailEnd/>
                    </a:ln>
                  </pic:spPr>
                </pic:pic>
              </a:graphicData>
            </a:graphic>
          </wp:inline>
        </w:drawing>
      </w:r>
    </w:p>
    <w:p>
      <w:pPr>
        <w:pStyle w:val="ImageCaption"/>
      </w:pPr>
      <w:r>
        <w:t xml:space="preserve">Figure 11. The training and evaluation protocol, identical for every model: a 40-task pre-training stage, a per-suite fine-tuning stage, then evaluation on the normal tasks and on the seven LIBERO-Plus perturbation categories.</w:t>
      </w:r>
    </w:p>
    <w:p>
      <w:pPr>
        <w:pStyle w:val="BodyText"/>
      </w:pPr>
      <w:r>
        <w:t xml:space="preserve">Throughout the results,</w:t>
      </w:r>
      <w:r>
        <w:t xml:space="preserve"> </w:t>
      </w:r>
      <w:r>
        <w:t xml:space="preserve">“</w:t>
      </w:r>
      <w:r>
        <w:t xml:space="preserve">M1 = flow, M3 = DeepONet, M4 = DeepONet + PH</w:t>
      </w:r>
      <w:r>
        <w:t xml:space="preserve">”</w:t>
      </w:r>
      <w:r>
        <w:t xml:space="preserve">. All runs are on a single RTX PRO</w:t>
      </w:r>
      <w:r>
        <w:t xml:space="preserve"> </w:t>
      </w:r>
      <w:r>
        <w:t xml:space="preserve">6000 (Blackwell) GPU in bfloat16. Higher is better everywhere; numbers are success rates in percent.</w:t>
      </w:r>
    </w:p>
    <w:bookmarkEnd w:id="36"/>
    <w:bookmarkStart w:id="56" w:name="study-1-smolvla"/>
    <w:p>
      <w:pPr>
        <w:pStyle w:val="Heading1"/>
      </w:pPr>
      <w:r>
        <w:t xml:space="preserve">5. Study 1 — SmolVLA</w:t>
      </w:r>
    </w:p>
    <w:bookmarkStart w:id="40" w:name="the-smolvla-model-and-the-three-heads"/>
    <w:p>
      <w:pPr>
        <w:pStyle w:val="Heading2"/>
      </w:pPr>
      <w:r>
        <w:t xml:space="preserve">5.1 The SmolVLA model and the three heads</w:t>
      </w:r>
    </w:p>
    <w:p>
      <w:pPr>
        <w:pStyle w:val="FirstParagraph"/>
      </w:pPr>
      <w:r>
        <w:t xml:space="preserve">SmolVLA has a frozen vision-language backbone (SmolVLM2, ~350M) and, by default, a flow-matching action</w:t>
      </w:r>
      <w:r>
        <w:t xml:space="preserve"> </w:t>
      </w:r>
      <w:r>
        <w:t xml:space="preserve">head (~100M). Figure 2 shows the model with our DeepONet head in place (the boundary marks the head we</w:t>
      </w:r>
      <w:r>
        <w:t xml:space="preserve"> </w:t>
      </w:r>
      <w:r>
        <w:t xml:space="preserve">swap; the outer boundary marks the whole model).</w:t>
      </w:r>
    </w:p>
    <w:p>
      <w:pPr>
        <w:pStyle w:val="CaptionedFigure"/>
      </w:pPr>
      <w:r>
        <w:drawing>
          <wp:inline>
            <wp:extent cx="5334000" cy="2273916"/>
            <wp:effectExtent b="0" l="0" r="0" t="0"/>
            <wp:docPr descr="Figure 2. SmolVLA with the DeepONet action head. The inner dashed boundary is the part we replace; the outer boundary is the whole model. The persistent-homology loss is shown as a training-only term." title="" id="1" name="Picture"/>
            <a:graphic>
              <a:graphicData uri="http://schemas.openxmlformats.org/drawingml/2006/picture">
                <pic:pic>
                  <pic:nvPicPr>
                    <pic:cNvPr descr="diagrams_emf/fig02_smolvla.emf" id="0" name="Picture"/>
                    <pic:cNvPicPr>
                      <a:picLocks noChangeArrowheads="1" noChangeAspect="1"/>
                    </pic:cNvPicPr>
                  </pic:nvPicPr>
                  <pic:blipFill>
                    <a:blip r:embed="rId37"/>
                    <a:stretch>
                      <a:fillRect/>
                    </a:stretch>
                  </pic:blipFill>
                  <pic:spPr bwMode="auto">
                    <a:xfrm>
                      <a:off x="0" y="0"/>
                      <a:ext cx="5334000" cy="2273916"/>
                    </a:xfrm>
                    <a:prstGeom prst="rect">
                      <a:avLst/>
                    </a:prstGeom>
                    <a:noFill/>
                    <a:ln w="9525">
                      <a:noFill/>
                      <a:headEnd/>
                      <a:tailEnd/>
                    </a:ln>
                  </pic:spPr>
                </pic:pic>
              </a:graphicData>
            </a:graphic>
          </wp:inline>
        </w:drawing>
      </w:r>
    </w:p>
    <w:p>
      <w:pPr>
        <w:pStyle w:val="ImageCaption"/>
      </w:pPr>
      <w:r>
        <w:t xml:space="preserve">Figure 2. SmolVLA with the DeepONet action head. The inner dashed boundary is the part we replace; the outer boundary is the whole model. The persistent-homology loss is shown as a training-only term.</w:t>
      </w:r>
    </w:p>
    <w:p>
      <w:pPr>
        <w:pStyle w:val="BodyText"/>
      </w:pPr>
      <w:r>
        <w:t xml:space="preserve">The baseline head is flow matching (Figure 3): given the prefix tokens, a noisy action and a time value,</w:t>
      </w:r>
      <w:r>
        <w:t xml:space="preserve"> </w:t>
      </w:r>
      <w:r>
        <w:t xml:space="preserve">it predicts a</w:t>
      </w:r>
      <w:r>
        <w:t xml:space="preserve"> </w:t>
      </w:r>
      <w:r>
        <w:rPr>
          <w:iCs/>
          <w:i/>
        </w:rPr>
        <w:t xml:space="preserve">velocity</w:t>
      </w:r>
      <w:r>
        <w:t xml:space="preserve"> </w:t>
      </w:r>
      <w:r>
        <w:t xml:space="preserve">that points from noise towards the real action, and the clean action is</w:t>
      </w:r>
      <w:r>
        <w:t xml:space="preserve"> </w:t>
      </w:r>
      <w:r>
        <w:t xml:space="preserve">recovered by one formula. We call this baseline</w:t>
      </w:r>
      <w:r>
        <w:t xml:space="preserve"> </w:t>
      </w:r>
      <w:r>
        <w:rPr>
          <w:bCs/>
          <w:b/>
        </w:rPr>
        <w:t xml:space="preserve">M1</w:t>
      </w:r>
      <w:r>
        <w:t xml:space="preserve">. We then compare it against the DeepONet operator</w:t>
      </w:r>
      <w:r>
        <w:t xml:space="preserve"> </w:t>
      </w:r>
      <w:r>
        <w:t xml:space="preserve">head (</w:t>
      </w:r>
      <w:r>
        <w:rPr>
          <w:bCs/>
          <w:b/>
        </w:rPr>
        <w:t xml:space="preserve">M3</w:t>
      </w:r>
      <w:r>
        <w:t xml:space="preserve">) and the DeepONet head with the added persistent-homology loss (</w:t>
      </w:r>
      <w:r>
        <w:rPr>
          <w:bCs/>
          <w:b/>
        </w:rPr>
        <w:t xml:space="preserve">M4</w:t>
      </w:r>
      <w:r>
        <w:t xml:space="preserve">, Figure 7).</w:t>
      </w:r>
    </w:p>
    <w:p>
      <w:pPr>
        <w:pStyle w:val="CaptionedFigure"/>
      </w:pPr>
      <w:r>
        <w:drawing>
          <wp:inline>
            <wp:extent cx="5334000" cy="2286781"/>
            <wp:effectExtent b="0" l="0" r="0" t="0"/>
            <wp:docPr descr="Figure 3. The flow-matching baseline head. It predicts a velocity field; because the noise-to-action path is a straight line, the clean action is recovered by a single formula." title="" id="1" name="Picture"/>
            <a:graphic>
              <a:graphicData uri="http://schemas.openxmlformats.org/drawingml/2006/picture">
                <pic:pic>
                  <pic:nvPicPr>
                    <pic:cNvPr descr="diagrams_emf/fig03_flowmatching.emf" id="0" name="Picture"/>
                    <pic:cNvPicPr>
                      <a:picLocks noChangeArrowheads="1" noChangeAspect="1"/>
                    </pic:cNvPicPr>
                  </pic:nvPicPr>
                  <pic:blipFill>
                    <a:blip r:embed="rId38"/>
                    <a:stretch>
                      <a:fillRect/>
                    </a:stretch>
                  </pic:blipFill>
                  <pic:spPr bwMode="auto">
                    <a:xfrm>
                      <a:off x="0" y="0"/>
                      <a:ext cx="5334000" cy="2286781"/>
                    </a:xfrm>
                    <a:prstGeom prst="rect">
                      <a:avLst/>
                    </a:prstGeom>
                    <a:noFill/>
                    <a:ln w="9525">
                      <a:noFill/>
                      <a:headEnd/>
                      <a:tailEnd/>
                    </a:ln>
                  </pic:spPr>
                </pic:pic>
              </a:graphicData>
            </a:graphic>
          </wp:inline>
        </w:drawing>
      </w:r>
    </w:p>
    <w:p>
      <w:pPr>
        <w:pStyle w:val="ImageCaption"/>
      </w:pPr>
      <w:r>
        <w:t xml:space="preserve">Figure 3. The flow-matching baseline head. It predicts a velocity field; because the noise-to-action path is a straight line, the clean action is recovered by a single formula.</w:t>
      </w:r>
    </w:p>
    <w:p>
      <w:pPr>
        <w:pStyle w:val="CaptionedFigure"/>
      </w:pPr>
      <w:r>
        <w:drawing>
          <wp:inline>
            <wp:extent cx="4937760" cy="1758724"/>
            <wp:effectExtent b="0" l="0" r="0" t="0"/>
            <wp:docPr descr="Figure 7. The DeepONet + PH variant (M4). The head is the same operator head; during training we add the persistent-homology shape loss on top of the usual MSE." title="" id="1" name="Picture"/>
            <a:graphic>
              <a:graphicData uri="http://schemas.openxmlformats.org/drawingml/2006/picture">
                <pic:pic>
                  <pic:nvPicPr>
                    <pic:cNvPr descr="diagrams_emf/fig07_deeponet_ph.emf" id="0" name="Picture"/>
                    <pic:cNvPicPr>
                      <a:picLocks noChangeArrowheads="1" noChangeAspect="1"/>
                    </pic:cNvPicPr>
                  </pic:nvPicPr>
                  <pic:blipFill>
                    <a:blip r:embed="rId39"/>
                    <a:stretch>
                      <a:fillRect/>
                    </a:stretch>
                  </pic:blipFill>
                  <pic:spPr bwMode="auto">
                    <a:xfrm>
                      <a:off x="0" y="0"/>
                      <a:ext cx="4937760" cy="1758724"/>
                    </a:xfrm>
                    <a:prstGeom prst="rect">
                      <a:avLst/>
                    </a:prstGeom>
                    <a:noFill/>
                    <a:ln w="9525">
                      <a:noFill/>
                      <a:headEnd/>
                      <a:tailEnd/>
                    </a:ln>
                  </pic:spPr>
                </pic:pic>
              </a:graphicData>
            </a:graphic>
          </wp:inline>
        </w:drawing>
      </w:r>
    </w:p>
    <w:p>
      <w:pPr>
        <w:pStyle w:val="ImageCaption"/>
      </w:pPr>
      <w:r>
        <w:t xml:space="preserve">Figure 7. The DeepONet + PH variant (M4). The head is the same operator head; during training we add the persistent-homology shape loss on top of the usual MSE.</w:t>
      </w:r>
    </w:p>
    <w:bookmarkEnd w:id="40"/>
    <w:bookmarkStart w:id="55" w:name="smolvla-results"/>
    <w:p>
      <w:pPr>
        <w:pStyle w:val="Heading2"/>
      </w:pPr>
      <w:r>
        <w:t xml:space="preserve">5.2 SmolVLA results</w:t>
      </w:r>
    </w:p>
    <w:bookmarkStart w:id="43" w:name="headline-libero-spatial-5-seeds"/>
    <w:p>
      <w:pPr>
        <w:pStyle w:val="Heading3"/>
      </w:pPr>
      <w:r>
        <w:t xml:space="preserve">5.2.1 Headline — LIBERO-Spatial, 5 seeds</w:t>
      </w:r>
    </w:p>
    <w:tbl>
      <w:tblPr>
        <w:tblStyle w:val="Table"/>
        <w:tblW w:type="dxa" w:w="9360"/>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tblPr>
      <w:tblGrid>
        <w:gridCol w:w="1872"/>
        <w:gridCol w:w="1872"/>
        <w:gridCol w:w="1872"/>
        <w:gridCol w:w="1872"/>
        <w:gridCol w:w="1872"/>
      </w:tblGrid>
      <w:tr>
        <w:tc>
          <w:tcPr>
            <w:tcW w:type="dxa" w:w="1872"/>
          </w:tcPr>
          <w:p>
            <w:pPr>
              <w:pStyle w:val="Compact"/>
              <w:jc w:val="left"/>
            </w:pPr>
            <w:r>
              <w:t xml:space="preserve">Model</w:t>
            </w:r>
          </w:p>
        </w:tc>
        <w:tc>
          <w:tcPr>
            <w:tcW w:type="dxa" w:w="1872"/>
          </w:tcPr>
          <w:p>
            <w:pPr>
              <w:pStyle w:val="Compact"/>
              <w:jc w:val="left"/>
            </w:pPr>
            <w:r>
              <w:t xml:space="preserve">In-dist (%)</w:t>
            </w:r>
          </w:p>
        </w:tc>
        <w:tc>
          <w:tcPr>
            <w:tcW w:type="dxa" w:w="1872"/>
          </w:tcPr>
          <w:p>
            <w:pPr>
              <w:pStyle w:val="Compact"/>
              <w:jc w:val="left"/>
            </w:pPr>
            <w:r>
              <w:t xml:space="preserve">Robustness (%)</w:t>
            </w:r>
          </w:p>
        </w:tc>
        <w:tc>
          <w:tcPr>
            <w:tcW w:type="dxa" w:w="1872"/>
          </w:tcPr>
          <w:p>
            <w:pPr>
              <w:pStyle w:val="Compact"/>
              <w:jc w:val="left"/>
            </w:pPr>
            <w:r>
              <w:t xml:space="preserve">Latency (ms)</w:t>
            </w:r>
          </w:p>
        </w:tc>
        <w:tc>
          <w:tcPr>
            <w:tcW w:type="dxa" w:w="1872"/>
          </w:tcPr>
          <w:p>
            <w:pPr>
              <w:pStyle w:val="Compact"/>
              <w:jc w:val="left"/>
            </w:pPr>
            <w:r>
              <w:t xml:space="preserve">Head params (M)</w:t>
            </w:r>
          </w:p>
        </w:tc>
      </w:tr>
      <w:tr>
        <w:tc>
          <w:tcPr>
            <w:tcW w:type="dxa" w:w="1872"/>
          </w:tcPr>
          <w:p>
            <w:pPr>
              <w:pStyle w:val="Compact"/>
              <w:jc w:val="left"/>
            </w:pPr>
            <w:r>
              <w:t xml:space="preserve">M1 flow (baseline)</w:t>
            </w:r>
          </w:p>
        </w:tc>
        <w:tc>
          <w:tcPr>
            <w:tcW w:type="dxa" w:w="1872"/>
          </w:tcPr>
          <w:p>
            <w:pPr>
              <w:pStyle w:val="Compact"/>
              <w:jc w:val="left"/>
            </w:pPr>
            <w:r>
              <w:t xml:space="preserve">79.4 ± 1.4</w:t>
            </w:r>
          </w:p>
        </w:tc>
        <w:tc>
          <w:tcPr>
            <w:tcW w:type="dxa" w:w="1872"/>
          </w:tcPr>
          <w:p>
            <w:pPr>
              <w:pStyle w:val="Compact"/>
              <w:jc w:val="left"/>
            </w:pPr>
            <w:r>
              <w:t xml:space="preserve">17.9 ± 5.2</w:t>
            </w:r>
          </w:p>
        </w:tc>
        <w:tc>
          <w:tcPr>
            <w:tcW w:type="dxa" w:w="1872"/>
          </w:tcPr>
          <w:p>
            <w:pPr>
              <w:pStyle w:val="Compact"/>
              <w:jc w:val="left"/>
            </w:pPr>
            <w:r>
              <w:t xml:space="preserve">148.1</w:t>
            </w:r>
          </w:p>
        </w:tc>
        <w:tc>
          <w:tcPr>
            <w:tcW w:type="dxa" w:w="1872"/>
          </w:tcPr>
          <w:p>
            <w:pPr>
              <w:pStyle w:val="Compact"/>
              <w:jc w:val="left"/>
            </w:pPr>
            <w:r>
              <w:t xml:space="preserve">99.9</w:t>
            </w:r>
          </w:p>
        </w:tc>
      </w:tr>
      <w:tr>
        <w:tc>
          <w:tcPr>
            <w:tcW w:type="dxa" w:w="1872"/>
          </w:tcPr>
          <w:p>
            <w:pPr>
              <w:pStyle w:val="Compact"/>
              <w:jc w:val="left"/>
            </w:pPr>
            <w:r>
              <w:t xml:space="preserve">M3 DeepONet</w:t>
            </w:r>
          </w:p>
        </w:tc>
        <w:tc>
          <w:tcPr>
            <w:tcW w:type="dxa" w:w="1872"/>
          </w:tcPr>
          <w:p>
            <w:pPr>
              <w:pStyle w:val="Compact"/>
              <w:jc w:val="left"/>
            </w:pPr>
            <w:r>
              <w:t xml:space="preserve">80.3 ± 2.4</w:t>
            </w:r>
          </w:p>
        </w:tc>
        <w:tc>
          <w:tcPr>
            <w:tcW w:type="dxa" w:w="1872"/>
          </w:tcPr>
          <w:p>
            <w:pPr>
              <w:pStyle w:val="Compact"/>
              <w:jc w:val="left"/>
            </w:pPr>
            <w:r>
              <w:t xml:space="preserve">38.5 ± 6.9</w:t>
            </w:r>
          </w:p>
        </w:tc>
        <w:tc>
          <w:tcPr>
            <w:tcW w:type="dxa" w:w="1872"/>
          </w:tcPr>
          <w:p>
            <w:pPr>
              <w:pStyle w:val="Compact"/>
              <w:jc w:val="left"/>
            </w:pPr>
            <w:r>
              <w:t xml:space="preserve">29.5</w:t>
            </w:r>
          </w:p>
        </w:tc>
        <w:tc>
          <w:tcPr>
            <w:tcW w:type="dxa" w:w="1872"/>
          </w:tcPr>
          <w:p>
            <w:pPr>
              <w:pStyle w:val="Compact"/>
              <w:jc w:val="left"/>
            </w:pPr>
            <w:r>
              <w:t xml:space="preserve">10.4</w:t>
            </w:r>
          </w:p>
        </w:tc>
      </w:tr>
      <w:tr>
        <w:tc>
          <w:tcPr>
            <w:tcW w:type="dxa" w:w="1872"/>
          </w:tcPr>
          <w:p>
            <w:pPr>
              <w:pStyle w:val="Compact"/>
              <w:jc w:val="left"/>
            </w:pPr>
            <w:r>
              <w:t xml:space="preserve">M4 DeepONet + PH</w:t>
            </w:r>
          </w:p>
        </w:tc>
        <w:tc>
          <w:tcPr>
            <w:tcW w:type="dxa" w:w="1872"/>
          </w:tcPr>
          <w:p>
            <w:pPr>
              <w:pStyle w:val="Compact"/>
              <w:jc w:val="left"/>
            </w:pPr>
            <w:r>
              <w:t xml:space="preserve">81.5 ± 3.9</w:t>
            </w:r>
          </w:p>
        </w:tc>
        <w:tc>
          <w:tcPr>
            <w:tcW w:type="dxa" w:w="1872"/>
          </w:tcPr>
          <w:p>
            <w:pPr>
              <w:pStyle w:val="Compact"/>
              <w:jc w:val="left"/>
            </w:pPr>
            <w:r>
              <w:t xml:space="preserve">32.6 ± 5.1</w:t>
            </w:r>
          </w:p>
        </w:tc>
        <w:tc>
          <w:tcPr>
            <w:tcW w:type="dxa" w:w="1872"/>
          </w:tcPr>
          <w:p>
            <w:pPr>
              <w:pStyle w:val="Compact"/>
              <w:jc w:val="left"/>
            </w:pPr>
            <w:r>
              <w:t xml:space="preserve">29.5</w:t>
            </w:r>
          </w:p>
        </w:tc>
        <w:tc>
          <w:tcPr>
            <w:tcW w:type="dxa" w:w="1872"/>
          </w:tcPr>
          <w:p>
            <w:pPr>
              <w:pStyle w:val="Compact"/>
              <w:jc w:val="left"/>
            </w:pPr>
            <w:r>
              <w:t xml:space="preserve">10.4</w:t>
            </w:r>
          </w:p>
        </w:tc>
      </w:tr>
    </w:tbl>
    <w:p>
      <w:pPr>
        <w:pStyle w:val="BodyText"/>
      </w:pPr>
      <w:r>
        <w:t xml:space="preserve">The operator head is</w:t>
      </w:r>
      <w:r>
        <w:t xml:space="preserve"> </w:t>
      </w:r>
      <w:r>
        <w:rPr>
          <w:bCs/>
          <w:b/>
        </w:rPr>
        <w:t xml:space="preserve">9.6× smaller</w:t>
      </w:r>
      <w:r>
        <w:t xml:space="preserve"> </w:t>
      </w:r>
      <w:r>
        <w:t xml:space="preserve">and</w:t>
      </w:r>
      <w:r>
        <w:t xml:space="preserve"> </w:t>
      </w:r>
      <w:r>
        <w:rPr>
          <w:bCs/>
          <w:b/>
        </w:rPr>
        <w:t xml:space="preserve">~5× faster</w:t>
      </w:r>
      <w:r>
        <w:t xml:space="preserve"> </w:t>
      </w:r>
      <w:r>
        <w:t xml:space="preserve">than the flow head. In-distribution accuracy is</w:t>
      </w:r>
      <w:r>
        <w:t xml:space="preserve"> </w:t>
      </w:r>
      <w:r>
        <w:t xml:space="preserve">essentially the same as the baseline; the clear difference is robustness, where DeepONet is</w:t>
      </w:r>
      <w:r>
        <w:t xml:space="preserve"> </w:t>
      </w:r>
      <w:r>
        <w:rPr>
          <w:bCs/>
          <w:b/>
        </w:rPr>
        <w:t xml:space="preserve">more than</w:t>
      </w:r>
      <w:r>
        <w:rPr>
          <w:bCs/>
          <w:b/>
        </w:rPr>
        <w:t xml:space="preserve"> </w:t>
      </w:r>
      <w:r>
        <w:rPr>
          <w:bCs/>
          <w:b/>
        </w:rPr>
        <w:t xml:space="preserve">2× the baseline</w:t>
      </w:r>
      <w:r>
        <w:t xml:space="preserve"> </w:t>
      </w:r>
      <w:r>
        <w:t xml:space="preserve">(38.5 vs 17.9).</w:t>
      </w:r>
    </w:p>
    <w:p>
      <w:pPr>
        <w:pStyle w:val="CaptionedFigure"/>
      </w:pPr>
      <w:r>
        <w:drawing>
          <wp:inline>
            <wp:extent cx="4572000" cy="3265714"/>
            <wp:effectExtent b="0" l="0" r="0" t="0"/>
            <wp:docPr descr="In-distribution accuracy on LIBERO-Spatial (5 seeds): the three heads are within noise of each other." title="" id="1" name="Picture"/>
            <a:graphic>
              <a:graphicData uri="http://schemas.openxmlformats.org/drawingml/2006/picture">
                <pic:pic>
                  <pic:nvPicPr>
                    <pic:cNvPr descr="plots_embedded/smolvla_accuracy.png" id="0" name="Picture"/>
                    <pic:cNvPicPr>
                      <a:picLocks noChangeArrowheads="1" noChangeAspect="1"/>
                    </pic:cNvPicPr>
                  </pic:nvPicPr>
                  <pic:blipFill>
                    <a:blip r:embed="rId41"/>
                    <a:stretch>
                      <a:fillRect/>
                    </a:stretch>
                  </pic:blipFill>
                  <pic:spPr bwMode="auto">
                    <a:xfrm>
                      <a:off x="0" y="0"/>
                      <a:ext cx="4572000" cy="3265714"/>
                    </a:xfrm>
                    <a:prstGeom prst="rect">
                      <a:avLst/>
                    </a:prstGeom>
                    <a:noFill/>
                    <a:ln w="9525">
                      <a:noFill/>
                      <a:headEnd/>
                      <a:tailEnd/>
                    </a:ln>
                  </pic:spPr>
                </pic:pic>
              </a:graphicData>
            </a:graphic>
          </wp:inline>
        </w:drawing>
      </w:r>
    </w:p>
    <w:p>
      <w:pPr>
        <w:pStyle w:val="ImageCaption"/>
      </w:pPr>
      <w:r>
        <w:t xml:space="preserve">In-distribution accuracy on LIBERO-Spatial (5 seeds): the three heads are within noise of each other.</w:t>
      </w:r>
    </w:p>
    <w:p>
      <w:pPr>
        <w:pStyle w:val="CaptionedFigure"/>
      </w:pPr>
      <w:r>
        <w:drawing>
          <wp:inline>
            <wp:extent cx="4572000" cy="3265714"/>
            <wp:effectExtent b="0" l="0" r="0" t="0"/>
            <wp:docPr descr="Robustness on LIBERO-Plus (5 seeds): DeepONet (M3) is more than twice the flow baseline; adding PH (M4) lowers it again." title="" id="1" name="Picture"/>
            <a:graphic>
              <a:graphicData uri="http://schemas.openxmlformats.org/drawingml/2006/picture">
                <pic:pic>
                  <pic:nvPicPr>
                    <pic:cNvPr descr="plots_embedded/smolvla_robustness.png" id="0" name="Picture"/>
                    <pic:cNvPicPr>
                      <a:picLocks noChangeArrowheads="1" noChangeAspect="1"/>
                    </pic:cNvPicPr>
                  </pic:nvPicPr>
                  <pic:blipFill>
                    <a:blip r:embed="rId42"/>
                    <a:stretch>
                      <a:fillRect/>
                    </a:stretch>
                  </pic:blipFill>
                  <pic:spPr bwMode="auto">
                    <a:xfrm>
                      <a:off x="0" y="0"/>
                      <a:ext cx="4572000" cy="3265714"/>
                    </a:xfrm>
                    <a:prstGeom prst="rect">
                      <a:avLst/>
                    </a:prstGeom>
                    <a:noFill/>
                    <a:ln w="9525">
                      <a:noFill/>
                      <a:headEnd/>
                      <a:tailEnd/>
                    </a:ln>
                  </pic:spPr>
                </pic:pic>
              </a:graphicData>
            </a:graphic>
          </wp:inline>
        </w:drawing>
      </w:r>
    </w:p>
    <w:p>
      <w:pPr>
        <w:pStyle w:val="ImageCaption"/>
      </w:pPr>
      <w:r>
        <w:t xml:space="preserve">Robustness on LIBERO-Plus (5 seeds): DeepONet (M3) is more than twice the flow baseline; adding PH (M4) lowers it again.</w:t>
      </w:r>
    </w:p>
    <w:bookmarkEnd w:id="43"/>
    <w:bookmarkStart w:id="45" w:name="robustness-by-perturbation-spatial"/>
    <w:p>
      <w:pPr>
        <w:pStyle w:val="Heading3"/>
      </w:pPr>
      <w:r>
        <w:t xml:space="preserve">5.2.2 Robustness by perturbation (Spatial)</w:t>
      </w:r>
    </w:p>
    <w:tbl>
      <w:tblPr>
        <w:tblStyle w:val="Table"/>
        <w:tblW w:type="dxa" w:w="9360"/>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tblPr>
      <w:tblGrid>
        <w:gridCol w:w="2340"/>
        <w:gridCol w:w="2340"/>
        <w:gridCol w:w="2340"/>
        <w:gridCol w:w="2340"/>
      </w:tblGrid>
      <w:tr>
        <w:tc>
          <w:tcPr>
            <w:tcW w:type="dxa" w:w="2340"/>
          </w:tcPr>
          <w:p>
            <w:pPr>
              <w:pStyle w:val="Compact"/>
              <w:jc w:val="left"/>
            </w:pPr>
            <w:r>
              <w:t xml:space="preserve">Perturbation</w:t>
            </w:r>
          </w:p>
        </w:tc>
        <w:tc>
          <w:tcPr>
            <w:tcW w:type="dxa" w:w="2340"/>
          </w:tcPr>
          <w:p>
            <w:pPr>
              <w:pStyle w:val="Compact"/>
              <w:jc w:val="left"/>
            </w:pPr>
            <w:r>
              <w:t xml:space="preserve">M1 flow</w:t>
            </w:r>
          </w:p>
        </w:tc>
        <w:tc>
          <w:tcPr>
            <w:tcW w:type="dxa" w:w="2340"/>
          </w:tcPr>
          <w:p>
            <w:pPr>
              <w:pStyle w:val="Compact"/>
              <w:jc w:val="left"/>
            </w:pPr>
            <w:r>
              <w:t xml:space="preserve">M3 DeepONet</w:t>
            </w:r>
          </w:p>
        </w:tc>
        <w:tc>
          <w:tcPr>
            <w:tcW w:type="dxa" w:w="2340"/>
          </w:tcPr>
          <w:p>
            <w:pPr>
              <w:pStyle w:val="Compact"/>
              <w:jc w:val="left"/>
            </w:pPr>
            <w:r>
              <w:t xml:space="preserve">M4 DeepONet + PH</w:t>
            </w:r>
          </w:p>
        </w:tc>
      </w:tr>
      <w:tr>
        <w:tc>
          <w:tcPr>
            <w:tcW w:type="dxa" w:w="2340"/>
          </w:tcPr>
          <w:p>
            <w:pPr>
              <w:pStyle w:val="Compact"/>
              <w:jc w:val="left"/>
            </w:pPr>
            <w:r>
              <w:t xml:space="preserve">Camera Viewpoints</w:t>
            </w:r>
          </w:p>
        </w:tc>
        <w:tc>
          <w:tcPr>
            <w:tcW w:type="dxa" w:w="2340"/>
          </w:tcPr>
          <w:p>
            <w:pPr>
              <w:pStyle w:val="Compact"/>
              <w:jc w:val="left"/>
            </w:pPr>
            <w:r>
              <w:t xml:space="preserve">18.7</w:t>
            </w:r>
          </w:p>
        </w:tc>
        <w:tc>
          <w:tcPr>
            <w:tcW w:type="dxa" w:w="2340"/>
          </w:tcPr>
          <w:p>
            <w:pPr>
              <w:pStyle w:val="Compact"/>
              <w:jc w:val="left"/>
            </w:pPr>
            <w:r>
              <w:t xml:space="preserve">26.7</w:t>
            </w:r>
          </w:p>
        </w:tc>
        <w:tc>
          <w:tcPr>
            <w:tcW w:type="dxa" w:w="2340"/>
          </w:tcPr>
          <w:p>
            <w:pPr>
              <w:pStyle w:val="Compact"/>
              <w:jc w:val="left"/>
            </w:pPr>
            <w:r>
              <w:t xml:space="preserve">14.7</w:t>
            </w:r>
          </w:p>
        </w:tc>
      </w:tr>
      <w:tr>
        <w:tc>
          <w:tcPr>
            <w:tcW w:type="dxa" w:w="2340"/>
          </w:tcPr>
          <w:p>
            <w:pPr>
              <w:pStyle w:val="Compact"/>
              <w:jc w:val="left"/>
            </w:pPr>
            <w:r>
              <w:t xml:space="preserve">Light Conditions</w:t>
            </w:r>
          </w:p>
        </w:tc>
        <w:tc>
          <w:tcPr>
            <w:tcW w:type="dxa" w:w="2340"/>
          </w:tcPr>
          <w:p>
            <w:pPr>
              <w:pStyle w:val="Compact"/>
              <w:jc w:val="left"/>
            </w:pPr>
            <w:r>
              <w:t xml:space="preserve">22.7</w:t>
            </w:r>
          </w:p>
        </w:tc>
        <w:tc>
          <w:tcPr>
            <w:tcW w:type="dxa" w:w="2340"/>
          </w:tcPr>
          <w:p>
            <w:pPr>
              <w:pStyle w:val="Compact"/>
              <w:jc w:val="left"/>
            </w:pPr>
            <w:r>
              <w:t xml:space="preserve">61.3</w:t>
            </w:r>
          </w:p>
        </w:tc>
        <w:tc>
          <w:tcPr>
            <w:tcW w:type="dxa" w:w="2340"/>
          </w:tcPr>
          <w:p>
            <w:pPr>
              <w:pStyle w:val="Compact"/>
              <w:jc w:val="left"/>
            </w:pPr>
            <w:r>
              <w:t xml:space="preserve">54.7</w:t>
            </w:r>
          </w:p>
        </w:tc>
      </w:tr>
      <w:tr>
        <w:tc>
          <w:tcPr>
            <w:tcW w:type="dxa" w:w="2340"/>
          </w:tcPr>
          <w:p>
            <w:pPr>
              <w:pStyle w:val="Compact"/>
              <w:jc w:val="left"/>
            </w:pPr>
            <w:r>
              <w:t xml:space="preserve">Sensor Noise</w:t>
            </w:r>
          </w:p>
        </w:tc>
        <w:tc>
          <w:tcPr>
            <w:tcW w:type="dxa" w:w="2340"/>
          </w:tcPr>
          <w:p>
            <w:pPr>
              <w:pStyle w:val="Compact"/>
              <w:jc w:val="left"/>
            </w:pPr>
            <w:r>
              <w:t xml:space="preserve">25.3</w:t>
            </w:r>
          </w:p>
        </w:tc>
        <w:tc>
          <w:tcPr>
            <w:tcW w:type="dxa" w:w="2340"/>
          </w:tcPr>
          <w:p>
            <w:pPr>
              <w:pStyle w:val="Compact"/>
              <w:jc w:val="left"/>
            </w:pPr>
            <w:r>
              <w:t xml:space="preserve">21.3</w:t>
            </w:r>
          </w:p>
        </w:tc>
        <w:tc>
          <w:tcPr>
            <w:tcW w:type="dxa" w:w="2340"/>
          </w:tcPr>
          <w:p>
            <w:pPr>
              <w:pStyle w:val="Compact"/>
              <w:jc w:val="left"/>
            </w:pPr>
            <w:r>
              <w:t xml:space="preserve">17.3</w:t>
            </w:r>
          </w:p>
        </w:tc>
      </w:tr>
      <w:tr>
        <w:tc>
          <w:tcPr>
            <w:tcW w:type="dxa" w:w="2340"/>
          </w:tcPr>
          <w:p>
            <w:pPr>
              <w:pStyle w:val="Compact"/>
              <w:jc w:val="left"/>
            </w:pPr>
            <w:r>
              <w:t xml:space="preserve">Background Textures</w:t>
            </w:r>
          </w:p>
        </w:tc>
        <w:tc>
          <w:tcPr>
            <w:tcW w:type="dxa" w:w="2340"/>
          </w:tcPr>
          <w:p>
            <w:pPr>
              <w:pStyle w:val="Compact"/>
              <w:jc w:val="left"/>
            </w:pPr>
            <w:r>
              <w:t xml:space="preserve">24.0</w:t>
            </w:r>
          </w:p>
        </w:tc>
        <w:tc>
          <w:tcPr>
            <w:tcW w:type="dxa" w:w="2340"/>
          </w:tcPr>
          <w:p>
            <w:pPr>
              <w:pStyle w:val="Compact"/>
              <w:jc w:val="left"/>
            </w:pPr>
            <w:r>
              <w:t xml:space="preserve">42.7</w:t>
            </w:r>
          </w:p>
        </w:tc>
        <w:tc>
          <w:tcPr>
            <w:tcW w:type="dxa" w:w="2340"/>
          </w:tcPr>
          <w:p>
            <w:pPr>
              <w:pStyle w:val="Compact"/>
              <w:jc w:val="left"/>
            </w:pPr>
            <w:r>
              <w:t xml:space="preserve">44.0</w:t>
            </w:r>
          </w:p>
        </w:tc>
      </w:tr>
      <w:tr>
        <w:tc>
          <w:tcPr>
            <w:tcW w:type="dxa" w:w="2340"/>
          </w:tcPr>
          <w:p>
            <w:pPr>
              <w:pStyle w:val="Compact"/>
              <w:jc w:val="left"/>
            </w:pPr>
            <w:r>
              <w:t xml:space="preserve">Objects Layout</w:t>
            </w:r>
          </w:p>
        </w:tc>
        <w:tc>
          <w:tcPr>
            <w:tcW w:type="dxa" w:w="2340"/>
          </w:tcPr>
          <w:p>
            <w:pPr>
              <w:pStyle w:val="Compact"/>
              <w:jc w:val="left"/>
            </w:pPr>
            <w:r>
              <w:t xml:space="preserve">9.3</w:t>
            </w:r>
          </w:p>
        </w:tc>
        <w:tc>
          <w:tcPr>
            <w:tcW w:type="dxa" w:w="2340"/>
          </w:tcPr>
          <w:p>
            <w:pPr>
              <w:pStyle w:val="Compact"/>
              <w:jc w:val="left"/>
            </w:pPr>
            <w:r>
              <w:t xml:space="preserve">48.0</w:t>
            </w:r>
          </w:p>
        </w:tc>
        <w:tc>
          <w:tcPr>
            <w:tcW w:type="dxa" w:w="2340"/>
          </w:tcPr>
          <w:p>
            <w:pPr>
              <w:pStyle w:val="Compact"/>
              <w:jc w:val="left"/>
            </w:pPr>
            <w:r>
              <w:t xml:space="preserve">46.7</w:t>
            </w:r>
          </w:p>
        </w:tc>
      </w:tr>
      <w:tr>
        <w:tc>
          <w:tcPr>
            <w:tcW w:type="dxa" w:w="2340"/>
          </w:tcPr>
          <w:p>
            <w:pPr>
              <w:pStyle w:val="Compact"/>
              <w:jc w:val="left"/>
            </w:pPr>
            <w:r>
              <w:t xml:space="preserve">Robot Initial States</w:t>
            </w:r>
          </w:p>
        </w:tc>
        <w:tc>
          <w:tcPr>
            <w:tcW w:type="dxa" w:w="2340"/>
          </w:tcPr>
          <w:p>
            <w:pPr>
              <w:pStyle w:val="Compact"/>
              <w:jc w:val="left"/>
            </w:pPr>
            <w:r>
              <w:t xml:space="preserve">17.3</w:t>
            </w:r>
          </w:p>
        </w:tc>
        <w:tc>
          <w:tcPr>
            <w:tcW w:type="dxa" w:w="2340"/>
          </w:tcPr>
          <w:p>
            <w:pPr>
              <w:pStyle w:val="Compact"/>
              <w:jc w:val="left"/>
            </w:pPr>
            <w:r>
              <w:t xml:space="preserve">36.0</w:t>
            </w:r>
          </w:p>
        </w:tc>
        <w:tc>
          <w:tcPr>
            <w:tcW w:type="dxa" w:w="2340"/>
          </w:tcPr>
          <w:p>
            <w:pPr>
              <w:pStyle w:val="Compact"/>
              <w:jc w:val="left"/>
            </w:pPr>
            <w:r>
              <w:t xml:space="preserve">29.3</w:t>
            </w:r>
          </w:p>
        </w:tc>
      </w:tr>
      <w:tr>
        <w:tc>
          <w:tcPr>
            <w:tcW w:type="dxa" w:w="2340"/>
          </w:tcPr>
          <w:p>
            <w:pPr>
              <w:pStyle w:val="Compact"/>
              <w:jc w:val="left"/>
            </w:pPr>
            <w:r>
              <w:t xml:space="preserve">Language Instructions</w:t>
            </w:r>
          </w:p>
        </w:tc>
        <w:tc>
          <w:tcPr>
            <w:tcW w:type="dxa" w:w="2340"/>
          </w:tcPr>
          <w:p>
            <w:pPr>
              <w:pStyle w:val="Compact"/>
              <w:jc w:val="left"/>
            </w:pPr>
            <w:r>
              <w:t xml:space="preserve">8.0</w:t>
            </w:r>
          </w:p>
        </w:tc>
        <w:tc>
          <w:tcPr>
            <w:tcW w:type="dxa" w:w="2340"/>
          </w:tcPr>
          <w:p>
            <w:pPr>
              <w:pStyle w:val="Compact"/>
              <w:jc w:val="left"/>
            </w:pPr>
            <w:r>
              <w:t xml:space="preserve">33.3</w:t>
            </w:r>
          </w:p>
        </w:tc>
        <w:tc>
          <w:tcPr>
            <w:tcW w:type="dxa" w:w="2340"/>
          </w:tcPr>
          <w:p>
            <w:pPr>
              <w:pStyle w:val="Compact"/>
              <w:jc w:val="left"/>
            </w:pPr>
            <w:r>
              <w:t xml:space="preserve">21.3</w:t>
            </w:r>
          </w:p>
        </w:tc>
      </w:tr>
      <w:tr>
        <w:tc>
          <w:tcPr>
            <w:tcW w:type="dxa" w:w="2340"/>
          </w:tcPr>
          <w:p>
            <w:pPr>
              <w:pStyle w:val="Compact"/>
              <w:jc w:val="left"/>
            </w:pPr>
            <w:r>
              <w:rPr>
                <w:bCs/>
                <w:b/>
              </w:rPr>
              <w:t xml:space="preserve">Average</w:t>
            </w:r>
          </w:p>
        </w:tc>
        <w:tc>
          <w:tcPr>
            <w:tcW w:type="dxa" w:w="2340"/>
          </w:tcPr>
          <w:p>
            <w:pPr>
              <w:pStyle w:val="Compact"/>
              <w:jc w:val="left"/>
            </w:pPr>
            <w:r>
              <w:rPr>
                <w:bCs/>
                <w:b/>
              </w:rPr>
              <w:t xml:space="preserve">17.9</w:t>
            </w:r>
          </w:p>
        </w:tc>
        <w:tc>
          <w:tcPr>
            <w:tcW w:type="dxa" w:w="2340"/>
          </w:tcPr>
          <w:p>
            <w:pPr>
              <w:pStyle w:val="Compact"/>
              <w:jc w:val="left"/>
            </w:pPr>
            <w:r>
              <w:rPr>
                <w:bCs/>
                <w:b/>
              </w:rPr>
              <w:t xml:space="preserve">38.5</w:t>
            </w:r>
          </w:p>
        </w:tc>
        <w:tc>
          <w:tcPr>
            <w:tcW w:type="dxa" w:w="2340"/>
          </w:tcPr>
          <w:p>
            <w:pPr>
              <w:pStyle w:val="Compact"/>
              <w:jc w:val="left"/>
            </w:pPr>
            <w:r>
              <w:rPr>
                <w:bCs/>
                <w:b/>
              </w:rPr>
              <w:t xml:space="preserve">32.6</w:t>
            </w:r>
          </w:p>
        </w:tc>
      </w:tr>
    </w:tbl>
    <w:p>
      <w:pPr>
        <w:pStyle w:val="BodyText"/>
      </w:pPr>
      <w:r>
        <w:t xml:space="preserve">DeepONet wins 6 of the 7 categories (flow only wins Sensor Noise); the biggest gains are Objects Layout</w:t>
      </w:r>
      <w:r>
        <w:t xml:space="preserve"> </w:t>
      </w:r>
      <w:r>
        <w:t xml:space="preserve">(+38.7) and Language (+25.3).</w:t>
      </w:r>
    </w:p>
    <w:p>
      <w:pPr>
        <w:pStyle w:val="CaptionedFigure"/>
      </w:pPr>
      <w:r>
        <w:drawing>
          <wp:inline>
            <wp:extent cx="5334000" cy="2461846"/>
            <wp:effectExtent b="0" l="0" r="0" t="0"/>
            <wp:docPr descr="Robustness by perturbation type (LIBERO-Spatial, 5 seeds). DeepONet leads on six of seven perturbations." title="" id="1" name="Picture"/>
            <a:graphic>
              <a:graphicData uri="http://schemas.openxmlformats.org/drawingml/2006/picture">
                <pic:pic>
                  <pic:nvPicPr>
                    <pic:cNvPr descr="plots_embedded/smolvla_robustness_by_perturbation.png" id="0" name="Picture"/>
                    <pic:cNvPicPr>
                      <a:picLocks noChangeArrowheads="1" noChangeAspect="1"/>
                    </pic:cNvPicPr>
                  </pic:nvPicPr>
                  <pic:blipFill>
                    <a:blip r:embed="rId44"/>
                    <a:stretch>
                      <a:fillRect/>
                    </a:stretch>
                  </pic:blipFill>
                  <pic:spPr bwMode="auto">
                    <a:xfrm>
                      <a:off x="0" y="0"/>
                      <a:ext cx="5334000" cy="2461846"/>
                    </a:xfrm>
                    <a:prstGeom prst="rect">
                      <a:avLst/>
                    </a:prstGeom>
                    <a:noFill/>
                    <a:ln w="9525">
                      <a:noFill/>
                      <a:headEnd/>
                      <a:tailEnd/>
                    </a:ln>
                  </pic:spPr>
                </pic:pic>
              </a:graphicData>
            </a:graphic>
          </wp:inline>
        </w:drawing>
      </w:r>
    </w:p>
    <w:p>
      <w:pPr>
        <w:pStyle w:val="ImageCaption"/>
      </w:pPr>
      <w:r>
        <w:t xml:space="preserve">Robustness by perturbation type (LIBERO-Spatial, 5 seeds). DeepONet leads on six of seven perturbations.</w:t>
      </w:r>
    </w:p>
    <w:bookmarkEnd w:id="45"/>
    <w:bookmarkStart w:id="47" w:name="per-task-in-distribution-spatial-5-seeds"/>
    <w:p>
      <w:pPr>
        <w:pStyle w:val="Heading3"/>
      </w:pPr>
      <w:r>
        <w:t xml:space="preserve">5.2.3 Per-task in-distribution (Spatial, 5 seeds)</w:t>
      </w:r>
    </w:p>
    <w:tbl>
      <w:tblPr>
        <w:tblStyle w:val="Table"/>
        <w:tblW w:type="dxa" w:w="9360"/>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tblPr>
      <w:tblGrid>
        <w:gridCol w:w="2340"/>
        <w:gridCol w:w="2340"/>
        <w:gridCol w:w="2340"/>
        <w:gridCol w:w="2340"/>
      </w:tblGrid>
      <w:tr>
        <w:tc>
          <w:tcPr>
            <w:tcW w:type="dxa" w:w="2340"/>
          </w:tcPr>
          <w:p>
            <w:pPr>
              <w:pStyle w:val="Compact"/>
              <w:jc w:val="left"/>
            </w:pPr>
            <w:r>
              <w:t xml:space="preserve">Task</w:t>
            </w:r>
          </w:p>
        </w:tc>
        <w:tc>
          <w:tcPr>
            <w:tcW w:type="dxa" w:w="2340"/>
          </w:tcPr>
          <w:p>
            <w:pPr>
              <w:pStyle w:val="Compact"/>
              <w:jc w:val="left"/>
            </w:pPr>
            <w:r>
              <w:t xml:space="preserve">M1 flow</w:t>
            </w:r>
          </w:p>
        </w:tc>
        <w:tc>
          <w:tcPr>
            <w:tcW w:type="dxa" w:w="2340"/>
          </w:tcPr>
          <w:p>
            <w:pPr>
              <w:pStyle w:val="Compact"/>
              <w:jc w:val="left"/>
            </w:pPr>
            <w:r>
              <w:t xml:space="preserve">M3 DeepONet</w:t>
            </w:r>
          </w:p>
        </w:tc>
        <w:tc>
          <w:tcPr>
            <w:tcW w:type="dxa" w:w="2340"/>
          </w:tcPr>
          <w:p>
            <w:pPr>
              <w:pStyle w:val="Compact"/>
              <w:jc w:val="left"/>
            </w:pPr>
            <w:r>
              <w:t xml:space="preserve">M4 DeepONet + PH</w:t>
            </w:r>
          </w:p>
        </w:tc>
      </w:tr>
      <w:tr>
        <w:tc>
          <w:tcPr>
            <w:tcW w:type="dxa" w:w="2340"/>
          </w:tcPr>
          <w:p>
            <w:pPr>
              <w:pStyle w:val="Compact"/>
              <w:jc w:val="left"/>
            </w:pPr>
            <w:r>
              <w:t xml:space="preserve">task0</w:t>
            </w:r>
          </w:p>
        </w:tc>
        <w:tc>
          <w:tcPr>
            <w:tcW w:type="dxa" w:w="2340"/>
          </w:tcPr>
          <w:p>
            <w:pPr>
              <w:pStyle w:val="Compact"/>
              <w:jc w:val="left"/>
            </w:pPr>
            <w:r>
              <w:t xml:space="preserve">83.0</w:t>
            </w:r>
          </w:p>
        </w:tc>
        <w:tc>
          <w:tcPr>
            <w:tcW w:type="dxa" w:w="2340"/>
          </w:tcPr>
          <w:p>
            <w:pPr>
              <w:pStyle w:val="Compact"/>
              <w:jc w:val="left"/>
            </w:pPr>
            <w:r>
              <w:t xml:space="preserve">88.0</w:t>
            </w:r>
          </w:p>
        </w:tc>
        <w:tc>
          <w:tcPr>
            <w:tcW w:type="dxa" w:w="2340"/>
          </w:tcPr>
          <w:p>
            <w:pPr>
              <w:pStyle w:val="Compact"/>
              <w:jc w:val="left"/>
            </w:pPr>
            <w:r>
              <w:t xml:space="preserve">95.0</w:t>
            </w:r>
          </w:p>
        </w:tc>
      </w:tr>
      <w:tr>
        <w:tc>
          <w:tcPr>
            <w:tcW w:type="dxa" w:w="2340"/>
          </w:tcPr>
          <w:p>
            <w:pPr>
              <w:pStyle w:val="Compact"/>
              <w:jc w:val="left"/>
            </w:pPr>
            <w:r>
              <w:t xml:space="preserve">task1</w:t>
            </w:r>
          </w:p>
        </w:tc>
        <w:tc>
          <w:tcPr>
            <w:tcW w:type="dxa" w:w="2340"/>
          </w:tcPr>
          <w:p>
            <w:pPr>
              <w:pStyle w:val="Compact"/>
              <w:jc w:val="left"/>
            </w:pPr>
            <w:r>
              <w:t xml:space="preserve">85.0</w:t>
            </w:r>
          </w:p>
        </w:tc>
        <w:tc>
          <w:tcPr>
            <w:tcW w:type="dxa" w:w="2340"/>
          </w:tcPr>
          <w:p>
            <w:pPr>
              <w:pStyle w:val="Compact"/>
              <w:jc w:val="left"/>
            </w:pPr>
            <w:r>
              <w:t xml:space="preserve">92.0</w:t>
            </w:r>
          </w:p>
        </w:tc>
        <w:tc>
          <w:tcPr>
            <w:tcW w:type="dxa" w:w="2340"/>
          </w:tcPr>
          <w:p>
            <w:pPr>
              <w:pStyle w:val="Compact"/>
              <w:jc w:val="left"/>
            </w:pPr>
            <w:r>
              <w:t xml:space="preserve">92.0</w:t>
            </w:r>
          </w:p>
        </w:tc>
      </w:tr>
      <w:tr>
        <w:tc>
          <w:tcPr>
            <w:tcW w:type="dxa" w:w="2340"/>
          </w:tcPr>
          <w:p>
            <w:pPr>
              <w:pStyle w:val="Compact"/>
              <w:jc w:val="left"/>
            </w:pPr>
            <w:r>
              <w:t xml:space="preserve">task2</w:t>
            </w:r>
          </w:p>
        </w:tc>
        <w:tc>
          <w:tcPr>
            <w:tcW w:type="dxa" w:w="2340"/>
          </w:tcPr>
          <w:p>
            <w:pPr>
              <w:pStyle w:val="Compact"/>
              <w:jc w:val="left"/>
            </w:pPr>
            <w:r>
              <w:t xml:space="preserve">94.0</w:t>
            </w:r>
          </w:p>
        </w:tc>
        <w:tc>
          <w:tcPr>
            <w:tcW w:type="dxa" w:w="2340"/>
          </w:tcPr>
          <w:p>
            <w:pPr>
              <w:pStyle w:val="Compact"/>
              <w:jc w:val="left"/>
            </w:pPr>
            <w:r>
              <w:t xml:space="preserve">89.0</w:t>
            </w:r>
          </w:p>
        </w:tc>
        <w:tc>
          <w:tcPr>
            <w:tcW w:type="dxa" w:w="2340"/>
          </w:tcPr>
          <w:p>
            <w:pPr>
              <w:pStyle w:val="Compact"/>
              <w:jc w:val="left"/>
            </w:pPr>
            <w:r>
              <w:t xml:space="preserve">90.0</w:t>
            </w:r>
          </w:p>
        </w:tc>
      </w:tr>
      <w:tr>
        <w:tc>
          <w:tcPr>
            <w:tcW w:type="dxa" w:w="2340"/>
          </w:tcPr>
          <w:p>
            <w:pPr>
              <w:pStyle w:val="Compact"/>
              <w:jc w:val="left"/>
            </w:pPr>
            <w:r>
              <w:t xml:space="preserve">task3</w:t>
            </w:r>
          </w:p>
        </w:tc>
        <w:tc>
          <w:tcPr>
            <w:tcW w:type="dxa" w:w="2340"/>
          </w:tcPr>
          <w:p>
            <w:pPr>
              <w:pStyle w:val="Compact"/>
              <w:jc w:val="left"/>
            </w:pPr>
            <w:r>
              <w:t xml:space="preserve">96.0</w:t>
            </w:r>
          </w:p>
        </w:tc>
        <w:tc>
          <w:tcPr>
            <w:tcW w:type="dxa" w:w="2340"/>
          </w:tcPr>
          <w:p>
            <w:pPr>
              <w:pStyle w:val="Compact"/>
              <w:jc w:val="left"/>
            </w:pPr>
            <w:r>
              <w:t xml:space="preserve">82.0</w:t>
            </w:r>
          </w:p>
        </w:tc>
        <w:tc>
          <w:tcPr>
            <w:tcW w:type="dxa" w:w="2340"/>
          </w:tcPr>
          <w:p>
            <w:pPr>
              <w:pStyle w:val="Compact"/>
              <w:jc w:val="left"/>
            </w:pPr>
            <w:r>
              <w:t xml:space="preserve">84.0</w:t>
            </w:r>
          </w:p>
        </w:tc>
      </w:tr>
      <w:tr>
        <w:tc>
          <w:tcPr>
            <w:tcW w:type="dxa" w:w="2340"/>
          </w:tcPr>
          <w:p>
            <w:pPr>
              <w:pStyle w:val="Compact"/>
              <w:jc w:val="left"/>
            </w:pPr>
            <w:r>
              <w:t xml:space="preserve">task4</w:t>
            </w:r>
          </w:p>
        </w:tc>
        <w:tc>
          <w:tcPr>
            <w:tcW w:type="dxa" w:w="2340"/>
          </w:tcPr>
          <w:p>
            <w:pPr>
              <w:pStyle w:val="Compact"/>
              <w:jc w:val="left"/>
            </w:pPr>
            <w:r>
              <w:t xml:space="preserve">73.0</w:t>
            </w:r>
          </w:p>
        </w:tc>
        <w:tc>
          <w:tcPr>
            <w:tcW w:type="dxa" w:w="2340"/>
          </w:tcPr>
          <w:p>
            <w:pPr>
              <w:pStyle w:val="Compact"/>
              <w:jc w:val="left"/>
            </w:pPr>
            <w:r>
              <w:t xml:space="preserve">85.0</w:t>
            </w:r>
          </w:p>
        </w:tc>
        <w:tc>
          <w:tcPr>
            <w:tcW w:type="dxa" w:w="2340"/>
          </w:tcPr>
          <w:p>
            <w:pPr>
              <w:pStyle w:val="Compact"/>
              <w:jc w:val="left"/>
            </w:pPr>
            <w:r>
              <w:t xml:space="preserve">88.0</w:t>
            </w:r>
          </w:p>
        </w:tc>
      </w:tr>
      <w:tr>
        <w:tc>
          <w:tcPr>
            <w:tcW w:type="dxa" w:w="2340"/>
          </w:tcPr>
          <w:p>
            <w:pPr>
              <w:pStyle w:val="Compact"/>
              <w:jc w:val="left"/>
            </w:pPr>
            <w:r>
              <w:t xml:space="preserve">task5 (hard</w:t>
            </w:r>
            <w:r>
              <w:t xml:space="preserve"> </w:t>
            </w:r>
            <w:r>
              <w:t xml:space="preserve">“</w:t>
            </w:r>
            <w:r>
              <w:t xml:space="preserve">stacked-bowl</w:t>
            </w:r>
            <w:r>
              <w:t xml:space="preserve">”</w:t>
            </w:r>
            <w:r>
              <w:t xml:space="preserve">)</w:t>
            </w:r>
          </w:p>
        </w:tc>
        <w:tc>
          <w:tcPr>
            <w:tcW w:type="dxa" w:w="2340"/>
          </w:tcPr>
          <w:p>
            <w:pPr>
              <w:pStyle w:val="Compact"/>
              <w:jc w:val="left"/>
            </w:pPr>
            <w:r>
              <w:t xml:space="preserve">16.0</w:t>
            </w:r>
          </w:p>
        </w:tc>
        <w:tc>
          <w:tcPr>
            <w:tcW w:type="dxa" w:w="2340"/>
          </w:tcPr>
          <w:p>
            <w:pPr>
              <w:pStyle w:val="Compact"/>
              <w:jc w:val="left"/>
            </w:pPr>
            <w:r>
              <w:t xml:space="preserve">28.0</w:t>
            </w:r>
          </w:p>
        </w:tc>
        <w:tc>
          <w:tcPr>
            <w:tcW w:type="dxa" w:w="2340"/>
          </w:tcPr>
          <w:p>
            <w:pPr>
              <w:pStyle w:val="Compact"/>
              <w:jc w:val="left"/>
            </w:pPr>
            <w:r>
              <w:t xml:space="preserve">38.0</w:t>
            </w:r>
          </w:p>
        </w:tc>
      </w:tr>
      <w:tr>
        <w:tc>
          <w:tcPr>
            <w:tcW w:type="dxa" w:w="2340"/>
          </w:tcPr>
          <w:p>
            <w:pPr>
              <w:pStyle w:val="Compact"/>
              <w:jc w:val="left"/>
            </w:pPr>
            <w:r>
              <w:t xml:space="preserve">task6</w:t>
            </w:r>
          </w:p>
        </w:tc>
        <w:tc>
          <w:tcPr>
            <w:tcW w:type="dxa" w:w="2340"/>
          </w:tcPr>
          <w:p>
            <w:pPr>
              <w:pStyle w:val="Compact"/>
              <w:jc w:val="left"/>
            </w:pPr>
            <w:r>
              <w:t xml:space="preserve">93.0</w:t>
            </w:r>
          </w:p>
        </w:tc>
        <w:tc>
          <w:tcPr>
            <w:tcW w:type="dxa" w:w="2340"/>
          </w:tcPr>
          <w:p>
            <w:pPr>
              <w:pStyle w:val="Compact"/>
              <w:jc w:val="left"/>
            </w:pPr>
            <w:r>
              <w:t xml:space="preserve">92.0</w:t>
            </w:r>
          </w:p>
        </w:tc>
        <w:tc>
          <w:tcPr>
            <w:tcW w:type="dxa" w:w="2340"/>
          </w:tcPr>
          <w:p>
            <w:pPr>
              <w:pStyle w:val="Compact"/>
              <w:jc w:val="left"/>
            </w:pPr>
            <w:r>
              <w:t xml:space="preserve">90.0</w:t>
            </w:r>
          </w:p>
        </w:tc>
      </w:tr>
      <w:tr>
        <w:tc>
          <w:tcPr>
            <w:tcW w:type="dxa" w:w="2340"/>
          </w:tcPr>
          <w:p>
            <w:pPr>
              <w:pStyle w:val="Compact"/>
              <w:jc w:val="left"/>
            </w:pPr>
            <w:r>
              <w:t xml:space="preserve">task7</w:t>
            </w:r>
          </w:p>
        </w:tc>
        <w:tc>
          <w:tcPr>
            <w:tcW w:type="dxa" w:w="2340"/>
          </w:tcPr>
          <w:p>
            <w:pPr>
              <w:pStyle w:val="Compact"/>
              <w:jc w:val="left"/>
            </w:pPr>
            <w:r>
              <w:t xml:space="preserve">88.0</w:t>
            </w:r>
          </w:p>
        </w:tc>
        <w:tc>
          <w:tcPr>
            <w:tcW w:type="dxa" w:w="2340"/>
          </w:tcPr>
          <w:p>
            <w:pPr>
              <w:pStyle w:val="Compact"/>
              <w:jc w:val="left"/>
            </w:pPr>
            <w:r>
              <w:t xml:space="preserve">80.0</w:t>
            </w:r>
          </w:p>
        </w:tc>
        <w:tc>
          <w:tcPr>
            <w:tcW w:type="dxa" w:w="2340"/>
          </w:tcPr>
          <w:p>
            <w:pPr>
              <w:pStyle w:val="Compact"/>
              <w:jc w:val="left"/>
            </w:pPr>
            <w:r>
              <w:t xml:space="preserve">83.0</w:t>
            </w:r>
          </w:p>
        </w:tc>
      </w:tr>
      <w:tr>
        <w:tc>
          <w:tcPr>
            <w:tcW w:type="dxa" w:w="2340"/>
          </w:tcPr>
          <w:p>
            <w:pPr>
              <w:pStyle w:val="Compact"/>
              <w:jc w:val="left"/>
            </w:pPr>
            <w:r>
              <w:t xml:space="preserve">task8</w:t>
            </w:r>
          </w:p>
        </w:tc>
        <w:tc>
          <w:tcPr>
            <w:tcW w:type="dxa" w:w="2340"/>
          </w:tcPr>
          <w:p>
            <w:pPr>
              <w:pStyle w:val="Compact"/>
              <w:jc w:val="left"/>
            </w:pPr>
            <w:r>
              <w:t xml:space="preserve">79.0</w:t>
            </w:r>
          </w:p>
        </w:tc>
        <w:tc>
          <w:tcPr>
            <w:tcW w:type="dxa" w:w="2340"/>
          </w:tcPr>
          <w:p>
            <w:pPr>
              <w:pStyle w:val="Compact"/>
              <w:jc w:val="left"/>
            </w:pPr>
            <w:r>
              <w:t xml:space="preserve">88.0</w:t>
            </w:r>
          </w:p>
        </w:tc>
        <w:tc>
          <w:tcPr>
            <w:tcW w:type="dxa" w:w="2340"/>
          </w:tcPr>
          <w:p>
            <w:pPr>
              <w:pStyle w:val="Compact"/>
              <w:jc w:val="left"/>
            </w:pPr>
            <w:r>
              <w:t xml:space="preserve">84.0</w:t>
            </w:r>
          </w:p>
        </w:tc>
      </w:tr>
      <w:tr>
        <w:tc>
          <w:tcPr>
            <w:tcW w:type="dxa" w:w="2340"/>
          </w:tcPr>
          <w:p>
            <w:pPr>
              <w:pStyle w:val="Compact"/>
              <w:jc w:val="left"/>
            </w:pPr>
            <w:r>
              <w:t xml:space="preserve">task9</w:t>
            </w:r>
          </w:p>
        </w:tc>
        <w:tc>
          <w:tcPr>
            <w:tcW w:type="dxa" w:w="2340"/>
          </w:tcPr>
          <w:p>
            <w:pPr>
              <w:pStyle w:val="Compact"/>
              <w:jc w:val="left"/>
            </w:pPr>
            <w:r>
              <w:t xml:space="preserve">87.0</w:t>
            </w:r>
          </w:p>
        </w:tc>
        <w:tc>
          <w:tcPr>
            <w:tcW w:type="dxa" w:w="2340"/>
          </w:tcPr>
          <w:p>
            <w:pPr>
              <w:pStyle w:val="Compact"/>
              <w:jc w:val="left"/>
            </w:pPr>
            <w:r>
              <w:t xml:space="preserve">79.0</w:t>
            </w:r>
          </w:p>
        </w:tc>
        <w:tc>
          <w:tcPr>
            <w:tcW w:type="dxa" w:w="2340"/>
          </w:tcPr>
          <w:p>
            <w:pPr>
              <w:pStyle w:val="Compact"/>
              <w:jc w:val="left"/>
            </w:pPr>
            <w:r>
              <w:t xml:space="preserve">71.0</w:t>
            </w:r>
          </w:p>
        </w:tc>
      </w:tr>
    </w:tbl>
    <w:p>
      <w:pPr>
        <w:pStyle w:val="BodyText"/>
      </w:pPr>
      <w:r>
        <w:t xml:space="preserve">Even on the hard task5, the operator heads (28/38%) beat flow (16%).</w:t>
      </w:r>
    </w:p>
    <w:p>
      <w:pPr>
        <w:pStyle w:val="CaptionedFigure"/>
      </w:pPr>
      <w:r>
        <w:drawing>
          <wp:inline>
            <wp:extent cx="5334000" cy="2461846"/>
            <wp:effectExtent b="0" l="0" r="0" t="0"/>
            <wp:docPr descr="Per-task in-distribution success on LIBERO-Spatial: DeepONet-v2 vs flow, task by task." title="" id="1" name="Picture"/>
            <a:graphic>
              <a:graphicData uri="http://schemas.openxmlformats.org/drawingml/2006/picture">
                <pic:pic>
                  <pic:nvPicPr>
                    <pic:cNvPr descr="plots_embedded/smolvla_v2_vs_flow_per_task.png" id="0" name="Picture"/>
                    <pic:cNvPicPr>
                      <a:picLocks noChangeArrowheads="1" noChangeAspect="1"/>
                    </pic:cNvPicPr>
                  </pic:nvPicPr>
                  <pic:blipFill>
                    <a:blip r:embed="rId46"/>
                    <a:stretch>
                      <a:fillRect/>
                    </a:stretch>
                  </pic:blipFill>
                  <pic:spPr bwMode="auto">
                    <a:xfrm>
                      <a:off x="0" y="0"/>
                      <a:ext cx="5334000" cy="2461846"/>
                    </a:xfrm>
                    <a:prstGeom prst="rect">
                      <a:avLst/>
                    </a:prstGeom>
                    <a:noFill/>
                    <a:ln w="9525">
                      <a:noFill/>
                      <a:headEnd/>
                      <a:tailEnd/>
                    </a:ln>
                  </pic:spPr>
                </pic:pic>
              </a:graphicData>
            </a:graphic>
          </wp:inline>
        </w:drawing>
      </w:r>
    </w:p>
    <w:p>
      <w:pPr>
        <w:pStyle w:val="ImageCaption"/>
      </w:pPr>
      <w:r>
        <w:t xml:space="preserve">Per-task in-distribution success on LIBERO-Spatial: DeepONet-v2 vs flow, task by task.</w:t>
      </w:r>
    </w:p>
    <w:bookmarkEnd w:id="47"/>
    <w:bookmarkStart w:id="48" w:name="ablations-and-the-module-we-settled-on"/>
    <w:p>
      <w:pPr>
        <w:pStyle w:val="Heading3"/>
      </w:pPr>
      <w:r>
        <w:t xml:space="preserve">5.2.4 Ablations, and the module we settled on</w:t>
      </w:r>
    </w:p>
    <w:p>
      <w:pPr>
        <w:pStyle w:val="FirstParagraph"/>
      </w:pPr>
      <w:r>
        <w:t xml:space="preserve">We took the operator head apart to see which piece matters (LIBERO-Spatial):</w:t>
      </w:r>
    </w:p>
    <w:tbl>
      <w:tblPr>
        <w:tblStyle w:val="Table"/>
        <w:tblW w:type="dxa" w:w="9360"/>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tblPr>
      <w:tblGrid>
        <w:gridCol w:w="2340"/>
        <w:gridCol w:w="2340"/>
        <w:gridCol w:w="2340"/>
        <w:gridCol w:w="2340"/>
      </w:tblGrid>
      <w:tr>
        <w:tc>
          <w:tcPr>
            <w:tcW w:type="dxa" w:w="2340"/>
          </w:tcPr>
          <w:p>
            <w:pPr>
              <w:pStyle w:val="Compact"/>
              <w:jc w:val="left"/>
            </w:pPr>
            <w:r>
              <w:t xml:space="preserve">Configuration</w:t>
            </w:r>
          </w:p>
        </w:tc>
        <w:tc>
          <w:tcPr>
            <w:tcW w:type="dxa" w:w="2340"/>
          </w:tcPr>
          <w:p>
            <w:pPr>
              <w:pStyle w:val="Compact"/>
              <w:jc w:val="left"/>
            </w:pPr>
            <w:r>
              <w:t xml:space="preserve">In-dist (%)</w:t>
            </w:r>
          </w:p>
        </w:tc>
        <w:tc>
          <w:tcPr>
            <w:tcW w:type="dxa" w:w="2340"/>
          </w:tcPr>
          <w:p>
            <w:pPr>
              <w:pStyle w:val="Compact"/>
              <w:jc w:val="left"/>
            </w:pPr>
            <w:r>
              <w:t xml:space="preserve">Robustness (%)</w:t>
            </w:r>
          </w:p>
        </w:tc>
        <w:tc>
          <w:tcPr>
            <w:tcW w:type="dxa" w:w="2340"/>
          </w:tcPr>
          <w:p>
            <w:pPr>
              <w:pStyle w:val="Compact"/>
              <w:jc w:val="left"/>
            </w:pPr>
            <w:r>
              <w:t xml:space="preserve">Seeds</w:t>
            </w:r>
          </w:p>
        </w:tc>
      </w:tr>
      <w:tr>
        <w:tc>
          <w:tcPr>
            <w:tcW w:type="dxa" w:w="2340"/>
          </w:tcPr>
          <w:p>
            <w:pPr>
              <w:pStyle w:val="Compact"/>
              <w:jc w:val="left"/>
            </w:pPr>
            <w:r>
              <w:t xml:space="preserve">Full DeepONet-v2 (p=256, 3 cross-attn blocks, Fourier)</w:t>
            </w:r>
          </w:p>
        </w:tc>
        <w:tc>
          <w:tcPr>
            <w:tcW w:type="dxa" w:w="2340"/>
          </w:tcPr>
          <w:p>
            <w:pPr>
              <w:pStyle w:val="Compact"/>
              <w:jc w:val="left"/>
            </w:pPr>
            <w:r>
              <w:t xml:space="preserve">80.3 ± 2.4</w:t>
            </w:r>
          </w:p>
        </w:tc>
        <w:tc>
          <w:tcPr>
            <w:tcW w:type="dxa" w:w="2340"/>
          </w:tcPr>
          <w:p>
            <w:pPr>
              <w:pStyle w:val="Compact"/>
              <w:jc w:val="left"/>
            </w:pPr>
            <w:r>
              <w:t xml:space="preserve">38.5 ± 6.9</w:t>
            </w:r>
          </w:p>
        </w:tc>
        <w:tc>
          <w:tcPr>
            <w:tcW w:type="dxa" w:w="2340"/>
          </w:tcPr>
          <w:p>
            <w:pPr>
              <w:pStyle w:val="Compact"/>
              <w:jc w:val="left"/>
            </w:pPr>
            <w:r>
              <w:t xml:space="preserve">5</w:t>
            </w:r>
          </w:p>
        </w:tc>
      </w:tr>
      <w:tr>
        <w:tc>
          <w:tcPr>
            <w:tcW w:type="dxa" w:w="2340"/>
          </w:tcPr>
          <w:p>
            <w:pPr>
              <w:pStyle w:val="Compact"/>
              <w:jc w:val="left"/>
            </w:pPr>
            <w:r>
              <w:t xml:space="preserve">basis size p 256 -&gt; 64</w:t>
            </w:r>
          </w:p>
        </w:tc>
        <w:tc>
          <w:tcPr>
            <w:tcW w:type="dxa" w:w="2340"/>
          </w:tcPr>
          <w:p>
            <w:pPr>
              <w:pStyle w:val="Compact"/>
              <w:jc w:val="left"/>
            </w:pPr>
            <w:r>
              <w:t xml:space="preserve">81.7 ± 0.5</w:t>
            </w:r>
          </w:p>
        </w:tc>
        <w:tc>
          <w:tcPr>
            <w:tcW w:type="dxa" w:w="2340"/>
          </w:tcPr>
          <w:p>
            <w:pPr>
              <w:pStyle w:val="Compact"/>
              <w:jc w:val="left"/>
            </w:pPr>
            <w:r>
              <w:t xml:space="preserve">32.7 ± 5.2</w:t>
            </w:r>
          </w:p>
        </w:tc>
        <w:tc>
          <w:tcPr>
            <w:tcW w:type="dxa" w:w="2340"/>
          </w:tcPr>
          <w:p>
            <w:pPr>
              <w:pStyle w:val="Compact"/>
              <w:jc w:val="left"/>
            </w:pPr>
            <w:r>
              <w:t xml:space="preserve">3</w:t>
            </w:r>
          </w:p>
        </w:tc>
      </w:tr>
      <w:tr>
        <w:tc>
          <w:tcPr>
            <w:tcW w:type="dxa" w:w="2340"/>
          </w:tcPr>
          <w:p>
            <w:pPr>
              <w:pStyle w:val="Compact"/>
              <w:jc w:val="left"/>
            </w:pPr>
            <w:r>
              <w:t xml:space="preserve">linear time features (no Fourier)</w:t>
            </w:r>
          </w:p>
        </w:tc>
        <w:tc>
          <w:tcPr>
            <w:tcW w:type="dxa" w:w="2340"/>
          </w:tcPr>
          <w:p>
            <w:pPr>
              <w:pStyle w:val="Compact"/>
              <w:jc w:val="left"/>
            </w:pPr>
            <w:r>
              <w:t xml:space="preserve">82.7 ± 1.4</w:t>
            </w:r>
          </w:p>
        </w:tc>
        <w:tc>
          <w:tcPr>
            <w:tcW w:type="dxa" w:w="2340"/>
          </w:tcPr>
          <w:p>
            <w:pPr>
              <w:pStyle w:val="Compact"/>
              <w:jc w:val="left"/>
            </w:pPr>
            <w:r>
              <w:t xml:space="preserve">39.0 ± 8.7</w:t>
            </w:r>
          </w:p>
        </w:tc>
        <w:tc>
          <w:tcPr>
            <w:tcW w:type="dxa" w:w="2340"/>
          </w:tcPr>
          <w:p>
            <w:pPr>
              <w:pStyle w:val="Compact"/>
              <w:jc w:val="left"/>
            </w:pPr>
            <w:r>
              <w:t xml:space="preserve">3</w:t>
            </w:r>
          </w:p>
        </w:tc>
      </w:tr>
      <w:tr>
        <w:tc>
          <w:tcPr>
            <w:tcW w:type="dxa" w:w="2340"/>
          </w:tcPr>
          <w:p>
            <w:pPr>
              <w:pStyle w:val="Compact"/>
              <w:jc w:val="left"/>
            </w:pPr>
            <w:r>
              <w:t xml:space="preserve">cross-attention blocks 3 -&gt; 1</w:t>
            </w:r>
          </w:p>
        </w:tc>
        <w:tc>
          <w:tcPr>
            <w:tcW w:type="dxa" w:w="2340"/>
          </w:tcPr>
          <w:p>
            <w:pPr>
              <w:pStyle w:val="Compact"/>
              <w:jc w:val="left"/>
            </w:pPr>
            <w:r>
              <w:t xml:space="preserve">78.2 ± 2.0</w:t>
            </w:r>
          </w:p>
        </w:tc>
        <w:tc>
          <w:tcPr>
            <w:tcW w:type="dxa" w:w="2340"/>
          </w:tcPr>
          <w:p>
            <w:pPr>
              <w:pStyle w:val="Compact"/>
              <w:jc w:val="left"/>
            </w:pPr>
            <w:r>
              <w:t xml:space="preserve">30.8 ± 4.5</w:t>
            </w:r>
          </w:p>
        </w:tc>
        <w:tc>
          <w:tcPr>
            <w:tcW w:type="dxa" w:w="2340"/>
          </w:tcPr>
          <w:p>
            <w:pPr>
              <w:pStyle w:val="Compact"/>
              <w:jc w:val="left"/>
            </w:pPr>
            <w:r>
              <w:t xml:space="preserve">3</w:t>
            </w:r>
          </w:p>
        </w:tc>
      </w:tr>
      <w:tr>
        <w:tc>
          <w:tcPr>
            <w:tcW w:type="dxa" w:w="2340"/>
          </w:tcPr>
          <w:p>
            <w:pPr>
              <w:pStyle w:val="Compact"/>
              <w:jc w:val="left"/>
            </w:pPr>
            <w:r>
              <w:t xml:space="preserve">plain regression head (no operator merge)</w:t>
            </w:r>
          </w:p>
        </w:tc>
        <w:tc>
          <w:tcPr>
            <w:tcW w:type="dxa" w:w="2340"/>
          </w:tcPr>
          <w:p>
            <w:pPr>
              <w:pStyle w:val="Compact"/>
              <w:jc w:val="left"/>
            </w:pPr>
            <w:r>
              <w:t xml:space="preserve">83.0 ± 4.2</w:t>
            </w:r>
          </w:p>
        </w:tc>
        <w:tc>
          <w:tcPr>
            <w:tcW w:type="dxa" w:w="2340"/>
          </w:tcPr>
          <w:p>
            <w:pPr>
              <w:pStyle w:val="Compact"/>
              <w:jc w:val="left"/>
            </w:pPr>
            <w:r>
              <w:t xml:space="preserve">32.7 ± 0.9</w:t>
            </w:r>
          </w:p>
        </w:tc>
        <w:tc>
          <w:tcPr>
            <w:tcW w:type="dxa" w:w="2340"/>
          </w:tcPr>
          <w:p>
            <w:pPr>
              <w:pStyle w:val="Compact"/>
              <w:jc w:val="left"/>
            </w:pPr>
            <w:r>
              <w:t xml:space="preserve">3</w:t>
            </w:r>
          </w:p>
        </w:tc>
      </w:tr>
    </w:tbl>
    <w:p>
      <w:pPr>
        <w:pStyle w:val="BodyText"/>
      </w:pPr>
      <w:r>
        <w:t xml:space="preserve">Reading this honestly: for raw in-distribution accuracy the pieces barely matter (a plain regression head</w:t>
      </w:r>
      <w:r>
        <w:t xml:space="preserve"> </w:t>
      </w:r>
      <w:r>
        <w:t xml:space="preserve">on the same context even scores highest). What clearly moves is</w:t>
      </w:r>
      <w:r>
        <w:t xml:space="preserve"> </w:t>
      </w:r>
      <w:r>
        <w:rPr>
          <w:bCs/>
          <w:b/>
        </w:rPr>
        <w:t xml:space="preserve">robustness</w:t>
      </w:r>
      <w:r>
        <w:t xml:space="preserve">, and the two components</w:t>
      </w:r>
      <w:r>
        <w:t xml:space="preserve"> </w:t>
      </w:r>
      <w:r>
        <w:t xml:space="preserve">that carry it are the</w:t>
      </w:r>
      <w:r>
        <w:t xml:space="preserve"> </w:t>
      </w:r>
      <w:r>
        <w:rPr>
          <w:bCs/>
          <w:b/>
        </w:rPr>
        <w:t xml:space="preserve">cross-attention pooler</w:t>
      </w:r>
      <w:r>
        <w:t xml:space="preserve"> </w:t>
      </w:r>
      <w:r>
        <w:t xml:space="preserve">(three blocks — the head that sees the input best is the</w:t>
      </w:r>
      <w:r>
        <w:t xml:space="preserve"> </w:t>
      </w:r>
      <w:r>
        <w:t xml:space="preserve">most robust) and the</w:t>
      </w:r>
      <w:r>
        <w:t xml:space="preserve"> </w:t>
      </w:r>
      <w:r>
        <w:rPr>
          <w:bCs/>
          <w:b/>
        </w:rPr>
        <w:t xml:space="preserve">operator merge</w:t>
      </w:r>
      <w:r>
        <w:t xml:space="preserve"> </w:t>
      </w:r>
      <w:r>
        <w:t xml:space="preserve">(the branch-times-trunk structure, robustness 38.5 vs the</w:t>
      </w:r>
      <w:r>
        <w:t xml:space="preserve"> </w:t>
      </w:r>
      <w:r>
        <w:t xml:space="preserve">regression head’s 32.7). Based on this, the</w:t>
      </w:r>
      <w:r>
        <w:t xml:space="preserve"> </w:t>
      </w:r>
      <w:r>
        <w:rPr>
          <w:bCs/>
          <w:b/>
        </w:rPr>
        <w:t xml:space="preserve">final module we use everywhere is: DeepONet head with the</w:t>
      </w:r>
      <w:r>
        <w:rPr>
          <w:bCs/>
          <w:b/>
        </w:rPr>
        <w:t xml:space="preserve"> </w:t>
      </w:r>
      <w:r>
        <w:rPr>
          <w:bCs/>
          <w:b/>
        </w:rPr>
        <w:t xml:space="preserve">cross-attention pooler (3 blocks), basis size p = 256, Fourier time features, and no PH loss.</w:t>
      </w:r>
      <w:r>
        <w:t xml:space="preserve"> </w:t>
      </w:r>
      <w:r>
        <w:t xml:space="preserve">We keep</w:t>
      </w:r>
      <w:r>
        <w:t xml:space="preserve"> </w:t>
      </w:r>
      <w:r>
        <w:t xml:space="preserve">Fourier features because, although they barely change these numbers, they help on the harder long-horizon</w:t>
      </w:r>
      <w:r>
        <w:t xml:space="preserve"> </w:t>
      </w:r>
      <w:r>
        <w:t xml:space="preserve">suite where the motion has more temporal structure.</w:t>
      </w:r>
    </w:p>
    <w:bookmarkEnd w:id="48"/>
    <w:bookmarkStart w:id="49" w:name="X6d07d9b7076c2039b1353dd1235898ffe8480ab"/>
    <w:p>
      <w:pPr>
        <w:pStyle w:val="Heading3"/>
      </w:pPr>
      <w:r>
        <w:t xml:space="preserve">5.2.5 Per-suite in-distribution (single seed, 15K steps)</w:t>
      </w:r>
    </w:p>
    <w:tbl>
      <w:tblPr>
        <w:tblStyle w:val="Table"/>
        <w:tblW w:type="dxa" w:w="9360"/>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tblPr>
      <w:tblGrid>
        <w:gridCol w:w="2340"/>
        <w:gridCol w:w="2340"/>
        <w:gridCol w:w="2340"/>
        <w:gridCol w:w="2340"/>
      </w:tblGrid>
      <w:tr>
        <w:tc>
          <w:tcPr>
            <w:tcW w:type="dxa" w:w="2340"/>
          </w:tcPr>
          <w:p>
            <w:pPr>
              <w:pStyle w:val="Compact"/>
              <w:jc w:val="left"/>
            </w:pPr>
            <w:r>
              <w:t xml:space="preserve">Suite</w:t>
            </w:r>
          </w:p>
        </w:tc>
        <w:tc>
          <w:tcPr>
            <w:tcW w:type="dxa" w:w="2340"/>
          </w:tcPr>
          <w:p>
            <w:pPr>
              <w:pStyle w:val="Compact"/>
              <w:jc w:val="left"/>
            </w:pPr>
            <w:r>
              <w:t xml:space="preserve">M1 flow</w:t>
            </w:r>
          </w:p>
        </w:tc>
        <w:tc>
          <w:tcPr>
            <w:tcW w:type="dxa" w:w="2340"/>
          </w:tcPr>
          <w:p>
            <w:pPr>
              <w:pStyle w:val="Compact"/>
              <w:jc w:val="left"/>
            </w:pPr>
            <w:r>
              <w:t xml:space="preserve">M3 DeepONet</w:t>
            </w:r>
          </w:p>
        </w:tc>
        <w:tc>
          <w:tcPr>
            <w:tcW w:type="dxa" w:w="2340"/>
          </w:tcPr>
          <w:p>
            <w:pPr>
              <w:pStyle w:val="Compact"/>
              <w:jc w:val="left"/>
            </w:pPr>
            <w:r>
              <w:t xml:space="preserve">M4 DeepONet + PH</w:t>
            </w:r>
          </w:p>
        </w:tc>
      </w:tr>
      <w:tr>
        <w:tc>
          <w:tcPr>
            <w:tcW w:type="dxa" w:w="2340"/>
          </w:tcPr>
          <w:p>
            <w:pPr>
              <w:pStyle w:val="Compact"/>
              <w:jc w:val="left"/>
            </w:pPr>
            <w:r>
              <w:t xml:space="preserve">LIBERO-Spatial</w:t>
            </w:r>
          </w:p>
        </w:tc>
        <w:tc>
          <w:tcPr>
            <w:tcW w:type="dxa" w:w="2340"/>
          </w:tcPr>
          <w:p>
            <w:pPr>
              <w:pStyle w:val="Compact"/>
              <w:jc w:val="left"/>
            </w:pPr>
            <w:r>
              <w:t xml:space="preserve">78.5</w:t>
            </w:r>
          </w:p>
        </w:tc>
        <w:tc>
          <w:tcPr>
            <w:tcW w:type="dxa" w:w="2340"/>
          </w:tcPr>
          <w:p>
            <w:pPr>
              <w:pStyle w:val="Compact"/>
              <w:jc w:val="left"/>
            </w:pPr>
            <w:r>
              <w:t xml:space="preserve">82.0</w:t>
            </w:r>
          </w:p>
        </w:tc>
        <w:tc>
          <w:tcPr>
            <w:tcW w:type="dxa" w:w="2340"/>
          </w:tcPr>
          <w:p>
            <w:pPr>
              <w:pStyle w:val="Compact"/>
              <w:jc w:val="left"/>
            </w:pPr>
            <w:r>
              <w:t xml:space="preserve">80.5</w:t>
            </w:r>
          </w:p>
        </w:tc>
      </w:tr>
      <w:tr>
        <w:tc>
          <w:tcPr>
            <w:tcW w:type="dxa" w:w="2340"/>
          </w:tcPr>
          <w:p>
            <w:pPr>
              <w:pStyle w:val="Compact"/>
              <w:jc w:val="left"/>
            </w:pPr>
            <w:r>
              <w:t xml:space="preserve">LIBERO-Object</w:t>
            </w:r>
          </w:p>
        </w:tc>
        <w:tc>
          <w:tcPr>
            <w:tcW w:type="dxa" w:w="2340"/>
          </w:tcPr>
          <w:p>
            <w:pPr>
              <w:pStyle w:val="Compact"/>
              <w:jc w:val="left"/>
            </w:pPr>
            <w:r>
              <w:t xml:space="preserve">84.5</w:t>
            </w:r>
          </w:p>
        </w:tc>
        <w:tc>
          <w:tcPr>
            <w:tcW w:type="dxa" w:w="2340"/>
          </w:tcPr>
          <w:p>
            <w:pPr>
              <w:pStyle w:val="Compact"/>
              <w:jc w:val="left"/>
            </w:pPr>
            <w:r>
              <w:t xml:space="preserve">94.0</w:t>
            </w:r>
          </w:p>
        </w:tc>
        <w:tc>
          <w:tcPr>
            <w:tcW w:type="dxa" w:w="2340"/>
          </w:tcPr>
          <w:p>
            <w:pPr>
              <w:pStyle w:val="Compact"/>
              <w:jc w:val="left"/>
            </w:pPr>
            <w:r>
              <w:t xml:space="preserve">87.0</w:t>
            </w:r>
          </w:p>
        </w:tc>
      </w:tr>
      <w:tr>
        <w:tc>
          <w:tcPr>
            <w:tcW w:type="dxa" w:w="2340"/>
          </w:tcPr>
          <w:p>
            <w:pPr>
              <w:pStyle w:val="Compact"/>
              <w:jc w:val="left"/>
            </w:pPr>
            <w:r>
              <w:t xml:space="preserve">LIBERO-Goal</w:t>
            </w:r>
          </w:p>
        </w:tc>
        <w:tc>
          <w:tcPr>
            <w:tcW w:type="dxa" w:w="2340"/>
          </w:tcPr>
          <w:p>
            <w:pPr>
              <w:pStyle w:val="Compact"/>
              <w:jc w:val="left"/>
            </w:pPr>
            <w:r>
              <w:t xml:space="preserve">93.5</w:t>
            </w:r>
          </w:p>
        </w:tc>
        <w:tc>
          <w:tcPr>
            <w:tcW w:type="dxa" w:w="2340"/>
          </w:tcPr>
          <w:p>
            <w:pPr>
              <w:pStyle w:val="Compact"/>
              <w:jc w:val="left"/>
            </w:pPr>
            <w:r>
              <w:t xml:space="preserve">90.0</w:t>
            </w:r>
          </w:p>
        </w:tc>
        <w:tc>
          <w:tcPr>
            <w:tcW w:type="dxa" w:w="2340"/>
          </w:tcPr>
          <w:p>
            <w:pPr>
              <w:pStyle w:val="Compact"/>
              <w:jc w:val="left"/>
            </w:pPr>
            <w:r>
              <w:t xml:space="preserve">89.0</w:t>
            </w:r>
          </w:p>
        </w:tc>
      </w:tr>
    </w:tbl>
    <w:bookmarkEnd w:id="49"/>
    <w:bookmarkStart w:id="50" w:name="X3aab38970e89e33acd5cb10998d93ac733cd230"/>
    <w:p>
      <w:pPr>
        <w:pStyle w:val="Heading3"/>
      </w:pPr>
      <w:r>
        <w:t xml:space="preserve">5.2.6 Fixed-budget vs best-checkpoint (all four suites, 30K)</w:t>
      </w:r>
    </w:p>
    <w:tbl>
      <w:tblPr>
        <w:tblStyle w:val="Table"/>
        <w:tblW w:type="dxa" w:w="9360"/>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tblPr>
      <w:tblGrid>
        <w:gridCol w:w="1337"/>
        <w:gridCol w:w="1337"/>
        <w:gridCol w:w="1337"/>
        <w:gridCol w:w="1337"/>
        <w:gridCol w:w="1337"/>
        <w:gridCol w:w="1337"/>
        <w:gridCol w:w="1337"/>
      </w:tblGrid>
      <w:tr>
        <w:tc>
          <w:tcPr>
            <w:tcW w:type="dxa" w:w="1337"/>
          </w:tcPr>
          <w:p>
            <w:pPr>
              <w:pStyle w:val="Compact"/>
              <w:jc w:val="left"/>
            </w:pPr>
            <w:r>
              <w:t xml:space="preserve">Selection</w:t>
            </w:r>
          </w:p>
        </w:tc>
        <w:tc>
          <w:tcPr>
            <w:tcW w:type="dxa" w:w="1337"/>
          </w:tcPr>
          <w:p>
            <w:pPr>
              <w:pStyle w:val="Compact"/>
              <w:jc w:val="left"/>
            </w:pPr>
            <w:r>
              <w:t xml:space="preserve">Model</w:t>
            </w:r>
          </w:p>
        </w:tc>
        <w:tc>
          <w:tcPr>
            <w:tcW w:type="dxa" w:w="1337"/>
          </w:tcPr>
          <w:p>
            <w:pPr>
              <w:pStyle w:val="Compact"/>
              <w:jc w:val="left"/>
            </w:pPr>
            <w:r>
              <w:t xml:space="preserve">Spatial</w:t>
            </w:r>
          </w:p>
        </w:tc>
        <w:tc>
          <w:tcPr>
            <w:tcW w:type="dxa" w:w="1337"/>
          </w:tcPr>
          <w:p>
            <w:pPr>
              <w:pStyle w:val="Compact"/>
              <w:jc w:val="left"/>
            </w:pPr>
            <w:r>
              <w:t xml:space="preserve">Object</w:t>
            </w:r>
          </w:p>
        </w:tc>
        <w:tc>
          <w:tcPr>
            <w:tcW w:type="dxa" w:w="1337"/>
          </w:tcPr>
          <w:p>
            <w:pPr>
              <w:pStyle w:val="Compact"/>
              <w:jc w:val="left"/>
            </w:pPr>
            <w:r>
              <w:t xml:space="preserve">Long</w:t>
            </w:r>
          </w:p>
        </w:tc>
        <w:tc>
          <w:tcPr>
            <w:tcW w:type="dxa" w:w="1337"/>
          </w:tcPr>
          <w:p>
            <w:pPr>
              <w:pStyle w:val="Compact"/>
              <w:jc w:val="left"/>
            </w:pPr>
            <w:r>
              <w:t xml:space="preserve">Goal</w:t>
            </w:r>
          </w:p>
        </w:tc>
        <w:tc>
          <w:tcPr>
            <w:tcW w:type="dxa" w:w="1337"/>
          </w:tcPr>
          <w:p>
            <w:pPr>
              <w:pStyle w:val="Compact"/>
              <w:jc w:val="left"/>
            </w:pPr>
            <w:r>
              <w:t xml:space="preserve">4-suite avg</w:t>
            </w:r>
          </w:p>
        </w:tc>
      </w:tr>
      <w:tr>
        <w:tc>
          <w:tcPr>
            <w:tcW w:type="dxa" w:w="1337"/>
          </w:tcPr>
          <w:p>
            <w:pPr>
              <w:pStyle w:val="Compact"/>
              <w:jc w:val="left"/>
            </w:pPr>
            <w:r>
              <w:t xml:space="preserve">fixed 30K</w:t>
            </w:r>
          </w:p>
        </w:tc>
        <w:tc>
          <w:tcPr>
            <w:tcW w:type="dxa" w:w="1337"/>
          </w:tcPr>
          <w:p>
            <w:pPr>
              <w:pStyle w:val="Compact"/>
              <w:jc w:val="left"/>
            </w:pPr>
            <w:r>
              <w:t xml:space="preserve">M1 flow</w:t>
            </w:r>
          </w:p>
        </w:tc>
        <w:tc>
          <w:tcPr>
            <w:tcW w:type="dxa" w:w="1337"/>
          </w:tcPr>
          <w:p>
            <w:pPr>
              <w:pStyle w:val="Compact"/>
              <w:jc w:val="left"/>
            </w:pPr>
            <w:r>
              <w:t xml:space="preserve">79.5</w:t>
            </w:r>
          </w:p>
        </w:tc>
        <w:tc>
          <w:tcPr>
            <w:tcW w:type="dxa" w:w="1337"/>
          </w:tcPr>
          <w:p>
            <w:pPr>
              <w:pStyle w:val="Compact"/>
              <w:jc w:val="left"/>
            </w:pPr>
            <w:r>
              <w:t xml:space="preserve">87.5</w:t>
            </w:r>
          </w:p>
        </w:tc>
        <w:tc>
          <w:tcPr>
            <w:tcW w:type="dxa" w:w="1337"/>
          </w:tcPr>
          <w:p>
            <w:pPr>
              <w:pStyle w:val="Compact"/>
              <w:jc w:val="left"/>
            </w:pPr>
            <w:r>
              <w:t xml:space="preserve">66.5</w:t>
            </w:r>
          </w:p>
        </w:tc>
        <w:tc>
          <w:tcPr>
            <w:tcW w:type="dxa" w:w="1337"/>
          </w:tcPr>
          <w:p>
            <w:pPr>
              <w:pStyle w:val="Compact"/>
              <w:jc w:val="left"/>
            </w:pPr>
            <w:r>
              <w:t xml:space="preserve">93.5</w:t>
            </w:r>
          </w:p>
        </w:tc>
        <w:tc>
          <w:tcPr>
            <w:tcW w:type="dxa" w:w="1337"/>
          </w:tcPr>
          <w:p>
            <w:pPr>
              <w:pStyle w:val="Compact"/>
              <w:jc w:val="left"/>
            </w:pPr>
            <w:r>
              <w:t xml:space="preserve">81.75</w:t>
            </w:r>
          </w:p>
        </w:tc>
      </w:tr>
      <w:tr>
        <w:tc>
          <w:tcPr>
            <w:tcW w:type="dxa" w:w="1337"/>
          </w:tcPr>
          <w:p>
            <w:pPr>
              <w:pStyle w:val="Compact"/>
              <w:jc w:val="left"/>
            </w:pPr>
            <w:r>
              <w:t xml:space="preserve">fixed 30K</w:t>
            </w:r>
          </w:p>
        </w:tc>
        <w:tc>
          <w:tcPr>
            <w:tcW w:type="dxa" w:w="1337"/>
          </w:tcPr>
          <w:p>
            <w:pPr>
              <w:pStyle w:val="Compact"/>
              <w:jc w:val="left"/>
            </w:pPr>
            <w:r>
              <w:t xml:space="preserve">M3 DeepONet</w:t>
            </w:r>
          </w:p>
        </w:tc>
        <w:tc>
          <w:tcPr>
            <w:tcW w:type="dxa" w:w="1337"/>
          </w:tcPr>
          <w:p>
            <w:pPr>
              <w:pStyle w:val="Compact"/>
              <w:jc w:val="left"/>
            </w:pPr>
            <w:r>
              <w:t xml:space="preserve">85.0</w:t>
            </w:r>
          </w:p>
        </w:tc>
        <w:tc>
          <w:tcPr>
            <w:tcW w:type="dxa" w:w="1337"/>
          </w:tcPr>
          <w:p>
            <w:pPr>
              <w:pStyle w:val="Compact"/>
              <w:jc w:val="left"/>
            </w:pPr>
            <w:r>
              <w:t xml:space="preserve">87.0</w:t>
            </w:r>
          </w:p>
        </w:tc>
        <w:tc>
          <w:tcPr>
            <w:tcW w:type="dxa" w:w="1337"/>
          </w:tcPr>
          <w:p>
            <w:pPr>
              <w:pStyle w:val="Compact"/>
              <w:jc w:val="left"/>
            </w:pPr>
            <w:r>
              <w:t xml:space="preserve">58.5</w:t>
            </w:r>
          </w:p>
        </w:tc>
        <w:tc>
          <w:tcPr>
            <w:tcW w:type="dxa" w:w="1337"/>
          </w:tcPr>
          <w:p>
            <w:pPr>
              <w:pStyle w:val="Compact"/>
              <w:jc w:val="left"/>
            </w:pPr>
            <w:r>
              <w:t xml:space="preserve">90.0</w:t>
            </w:r>
          </w:p>
        </w:tc>
        <w:tc>
          <w:tcPr>
            <w:tcW w:type="dxa" w:w="1337"/>
          </w:tcPr>
          <w:p>
            <w:pPr>
              <w:pStyle w:val="Compact"/>
              <w:jc w:val="left"/>
            </w:pPr>
            <w:r>
              <w:t xml:space="preserve">80.12</w:t>
            </w:r>
          </w:p>
        </w:tc>
      </w:tr>
      <w:tr>
        <w:tc>
          <w:tcPr>
            <w:tcW w:type="dxa" w:w="1337"/>
          </w:tcPr>
          <w:p>
            <w:pPr>
              <w:pStyle w:val="Compact"/>
              <w:jc w:val="left"/>
            </w:pPr>
            <w:r>
              <w:t xml:space="preserve">fixed 30K</w:t>
            </w:r>
          </w:p>
        </w:tc>
        <w:tc>
          <w:tcPr>
            <w:tcW w:type="dxa" w:w="1337"/>
          </w:tcPr>
          <w:p>
            <w:pPr>
              <w:pStyle w:val="Compact"/>
              <w:jc w:val="left"/>
            </w:pPr>
            <w:r>
              <w:t xml:space="preserve">M4 DeepONet + PH</w:t>
            </w:r>
          </w:p>
        </w:tc>
        <w:tc>
          <w:tcPr>
            <w:tcW w:type="dxa" w:w="1337"/>
          </w:tcPr>
          <w:p>
            <w:pPr>
              <w:pStyle w:val="Compact"/>
              <w:jc w:val="left"/>
            </w:pPr>
            <w:r>
              <w:t xml:space="preserve">82.5</w:t>
            </w:r>
          </w:p>
        </w:tc>
        <w:tc>
          <w:tcPr>
            <w:tcW w:type="dxa" w:w="1337"/>
          </w:tcPr>
          <w:p>
            <w:pPr>
              <w:pStyle w:val="Compact"/>
              <w:jc w:val="left"/>
            </w:pPr>
            <w:r>
              <w:t xml:space="preserve">89.5</w:t>
            </w:r>
          </w:p>
        </w:tc>
        <w:tc>
          <w:tcPr>
            <w:tcW w:type="dxa" w:w="1337"/>
          </w:tcPr>
          <w:p>
            <w:pPr>
              <w:pStyle w:val="Compact"/>
              <w:jc w:val="left"/>
            </w:pPr>
            <w:r>
              <w:t xml:space="preserve">60.5</w:t>
            </w:r>
          </w:p>
        </w:tc>
        <w:tc>
          <w:tcPr>
            <w:tcW w:type="dxa" w:w="1337"/>
          </w:tcPr>
          <w:p>
            <w:pPr>
              <w:pStyle w:val="Compact"/>
              <w:jc w:val="left"/>
            </w:pPr>
            <w:r>
              <w:t xml:space="preserve">89.0</w:t>
            </w:r>
          </w:p>
        </w:tc>
        <w:tc>
          <w:tcPr>
            <w:tcW w:type="dxa" w:w="1337"/>
          </w:tcPr>
          <w:p>
            <w:pPr>
              <w:pStyle w:val="Compact"/>
              <w:jc w:val="left"/>
            </w:pPr>
            <w:r>
              <w:t xml:space="preserve">80.38</w:t>
            </w:r>
          </w:p>
        </w:tc>
      </w:tr>
      <w:tr>
        <w:tc>
          <w:tcPr>
            <w:tcW w:type="dxa" w:w="1337"/>
          </w:tcPr>
          <w:p>
            <w:pPr>
              <w:pStyle w:val="Compact"/>
              <w:jc w:val="left"/>
            </w:pPr>
            <w:r>
              <w:t xml:space="preserve">best per suite</w:t>
            </w:r>
          </w:p>
        </w:tc>
        <w:tc>
          <w:tcPr>
            <w:tcW w:type="dxa" w:w="1337"/>
          </w:tcPr>
          <w:p>
            <w:pPr>
              <w:pStyle w:val="Compact"/>
              <w:jc w:val="left"/>
            </w:pPr>
            <w:r>
              <w:t xml:space="preserve">M1 flow</w:t>
            </w:r>
          </w:p>
        </w:tc>
        <w:tc>
          <w:tcPr>
            <w:tcW w:type="dxa" w:w="1337"/>
          </w:tcPr>
          <w:p>
            <w:pPr>
              <w:pStyle w:val="Compact"/>
              <w:jc w:val="left"/>
            </w:pPr>
            <w:r>
              <w:t xml:space="preserve">79.5</w:t>
            </w:r>
          </w:p>
        </w:tc>
        <w:tc>
          <w:tcPr>
            <w:tcW w:type="dxa" w:w="1337"/>
          </w:tcPr>
          <w:p>
            <w:pPr>
              <w:pStyle w:val="Compact"/>
              <w:jc w:val="left"/>
            </w:pPr>
            <w:r>
              <w:t xml:space="preserve">84.5</w:t>
            </w:r>
          </w:p>
        </w:tc>
        <w:tc>
          <w:tcPr>
            <w:tcW w:type="dxa" w:w="1337"/>
          </w:tcPr>
          <w:p>
            <w:pPr>
              <w:pStyle w:val="Compact"/>
              <w:jc w:val="left"/>
            </w:pPr>
            <w:r>
              <w:t xml:space="preserve">66.5</w:t>
            </w:r>
          </w:p>
        </w:tc>
        <w:tc>
          <w:tcPr>
            <w:tcW w:type="dxa" w:w="1337"/>
          </w:tcPr>
          <w:p>
            <w:pPr>
              <w:pStyle w:val="Compact"/>
              <w:jc w:val="left"/>
            </w:pPr>
            <w:r>
              <w:t xml:space="preserve">93.5</w:t>
            </w:r>
          </w:p>
        </w:tc>
        <w:tc>
          <w:tcPr>
            <w:tcW w:type="dxa" w:w="1337"/>
          </w:tcPr>
          <w:p>
            <w:pPr>
              <w:pStyle w:val="Compact"/>
              <w:jc w:val="left"/>
            </w:pPr>
            <w:r>
              <w:t xml:space="preserve">81.00</w:t>
            </w:r>
          </w:p>
        </w:tc>
      </w:tr>
      <w:tr>
        <w:tc>
          <w:tcPr>
            <w:tcW w:type="dxa" w:w="1337"/>
          </w:tcPr>
          <w:p>
            <w:pPr>
              <w:pStyle w:val="Compact"/>
              <w:jc w:val="left"/>
            </w:pPr>
            <w:r>
              <w:t xml:space="preserve">best per suite</w:t>
            </w:r>
          </w:p>
        </w:tc>
        <w:tc>
          <w:tcPr>
            <w:tcW w:type="dxa" w:w="1337"/>
          </w:tcPr>
          <w:p>
            <w:pPr>
              <w:pStyle w:val="Compact"/>
              <w:jc w:val="left"/>
            </w:pPr>
            <w:r>
              <w:t xml:space="preserve">M3 DeepONet</w:t>
            </w:r>
          </w:p>
        </w:tc>
        <w:tc>
          <w:tcPr>
            <w:tcW w:type="dxa" w:w="1337"/>
          </w:tcPr>
          <w:p>
            <w:pPr>
              <w:pStyle w:val="Compact"/>
              <w:jc w:val="left"/>
            </w:pPr>
            <w:r>
              <w:t xml:space="preserve">85.0</w:t>
            </w:r>
          </w:p>
        </w:tc>
        <w:tc>
          <w:tcPr>
            <w:tcW w:type="dxa" w:w="1337"/>
          </w:tcPr>
          <w:p>
            <w:pPr>
              <w:pStyle w:val="Compact"/>
              <w:jc w:val="left"/>
            </w:pPr>
            <w:r>
              <w:t xml:space="preserve">94.0</w:t>
            </w:r>
          </w:p>
        </w:tc>
        <w:tc>
          <w:tcPr>
            <w:tcW w:type="dxa" w:w="1337"/>
          </w:tcPr>
          <w:p>
            <w:pPr>
              <w:pStyle w:val="Compact"/>
              <w:jc w:val="left"/>
            </w:pPr>
            <w:r>
              <w:t xml:space="preserve">58.5</w:t>
            </w:r>
          </w:p>
        </w:tc>
        <w:tc>
          <w:tcPr>
            <w:tcW w:type="dxa" w:w="1337"/>
          </w:tcPr>
          <w:p>
            <w:pPr>
              <w:pStyle w:val="Compact"/>
              <w:jc w:val="left"/>
            </w:pPr>
            <w:r>
              <w:t xml:space="preserve">90.0</w:t>
            </w:r>
          </w:p>
        </w:tc>
        <w:tc>
          <w:tcPr>
            <w:tcW w:type="dxa" w:w="1337"/>
          </w:tcPr>
          <w:p>
            <w:pPr>
              <w:pStyle w:val="Compact"/>
              <w:jc w:val="left"/>
            </w:pPr>
            <w:r>
              <w:t xml:space="preserve">81.88</w:t>
            </w:r>
          </w:p>
        </w:tc>
      </w:tr>
      <w:tr>
        <w:tc>
          <w:tcPr>
            <w:tcW w:type="dxa" w:w="1337"/>
          </w:tcPr>
          <w:p>
            <w:pPr>
              <w:pStyle w:val="Compact"/>
              <w:jc w:val="left"/>
            </w:pPr>
            <w:r>
              <w:t xml:space="preserve">best per suite</w:t>
            </w:r>
          </w:p>
        </w:tc>
        <w:tc>
          <w:tcPr>
            <w:tcW w:type="dxa" w:w="1337"/>
          </w:tcPr>
          <w:p>
            <w:pPr>
              <w:pStyle w:val="Compact"/>
              <w:jc w:val="left"/>
            </w:pPr>
            <w:r>
              <w:t xml:space="preserve">M4 DeepONet + PH</w:t>
            </w:r>
          </w:p>
        </w:tc>
        <w:tc>
          <w:tcPr>
            <w:tcW w:type="dxa" w:w="1337"/>
          </w:tcPr>
          <w:p>
            <w:pPr>
              <w:pStyle w:val="Compact"/>
              <w:jc w:val="left"/>
            </w:pPr>
            <w:r>
              <w:t xml:space="preserve">82.5</w:t>
            </w:r>
          </w:p>
        </w:tc>
        <w:tc>
          <w:tcPr>
            <w:tcW w:type="dxa" w:w="1337"/>
          </w:tcPr>
          <w:p>
            <w:pPr>
              <w:pStyle w:val="Compact"/>
              <w:jc w:val="left"/>
            </w:pPr>
            <w:r>
              <w:t xml:space="preserve">87.0</w:t>
            </w:r>
          </w:p>
        </w:tc>
        <w:tc>
          <w:tcPr>
            <w:tcW w:type="dxa" w:w="1337"/>
          </w:tcPr>
          <w:p>
            <w:pPr>
              <w:pStyle w:val="Compact"/>
              <w:jc w:val="left"/>
            </w:pPr>
            <w:r>
              <w:t xml:space="preserve">60.5</w:t>
            </w:r>
          </w:p>
        </w:tc>
        <w:tc>
          <w:tcPr>
            <w:tcW w:type="dxa" w:w="1337"/>
          </w:tcPr>
          <w:p>
            <w:pPr>
              <w:pStyle w:val="Compact"/>
              <w:jc w:val="left"/>
            </w:pPr>
            <w:r>
              <w:t xml:space="preserve">89.0</w:t>
            </w:r>
          </w:p>
        </w:tc>
        <w:tc>
          <w:tcPr>
            <w:tcW w:type="dxa" w:w="1337"/>
          </w:tcPr>
          <w:p>
            <w:pPr>
              <w:pStyle w:val="Compact"/>
              <w:jc w:val="left"/>
            </w:pPr>
            <w:r>
              <w:t xml:space="preserve">79.75</w:t>
            </w:r>
          </w:p>
        </w:tc>
      </w:tr>
    </w:tbl>
    <w:p>
      <w:pPr>
        <w:pStyle w:val="BodyText"/>
      </w:pPr>
      <w:r>
        <w:t xml:space="preserve">A caveat we want to be upfront about: at a</w:t>
      </w:r>
      <w:r>
        <w:t xml:space="preserve"> </w:t>
      </w:r>
      <w:r>
        <w:rPr>
          <w:bCs/>
          <w:b/>
        </w:rPr>
        <w:t xml:space="preserve">fixed</w:t>
      </w:r>
      <w:r>
        <w:t xml:space="preserve"> </w:t>
      </w:r>
      <w:r>
        <w:t xml:space="preserve">30K budget the flow baseline slightly wins the</w:t>
      </w:r>
      <w:r>
        <w:t xml:space="preserve"> </w:t>
      </w:r>
      <w:r>
        <w:t xml:space="preserve">four-suite average (81.75 vs 80.12); DeepONet only edges ahead (81.88) if you pick the best checkpoint</w:t>
      </w:r>
      <w:r>
        <w:t xml:space="preserve"> </w:t>
      </w:r>
      <w:r>
        <w:t xml:space="preserve">per suite, which is selection-dependent. So across suites the in-distribution story is</w:t>
      </w:r>
      <w:r>
        <w:t xml:space="preserve"> </w:t>
      </w:r>
      <w:r>
        <w:t xml:space="preserve">“</w:t>
      </w:r>
      <w:r>
        <w:t xml:space="preserve">roughly a tie</w:t>
      </w:r>
      <w:r>
        <w:t xml:space="preserve">”</w:t>
      </w:r>
      <w:r>
        <w:t xml:space="preserve">.</w:t>
      </w:r>
    </w:p>
    <w:bookmarkEnd w:id="50"/>
    <w:bookmarkStart w:id="51" w:name="statistical-significance-paired-tests"/>
    <w:p>
      <w:pPr>
        <w:pStyle w:val="Heading3"/>
      </w:pPr>
      <w:r>
        <w:t xml:space="preserve">5.2.7 Statistical significance (paired tests)</w:t>
      </w:r>
    </w:p>
    <w:tbl>
      <w:tblPr>
        <w:tblStyle w:val="Table"/>
        <w:tblW w:type="dxa" w:w="9360"/>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tblPr>
      <w:tblGrid>
        <w:gridCol w:w="1872"/>
        <w:gridCol w:w="1872"/>
        <w:gridCol w:w="1872"/>
        <w:gridCol w:w="1872"/>
        <w:gridCol w:w="1872"/>
      </w:tblGrid>
      <w:tr>
        <w:tc>
          <w:tcPr>
            <w:tcW w:type="dxa" w:w="1872"/>
          </w:tcPr>
          <w:p>
            <w:pPr>
              <w:pStyle w:val="Compact"/>
              <w:jc w:val="left"/>
            </w:pPr>
            <w:r>
              <w:t xml:space="preserve">Comparison</w:t>
            </w:r>
          </w:p>
        </w:tc>
        <w:tc>
          <w:tcPr>
            <w:tcW w:type="dxa" w:w="1872"/>
          </w:tcPr>
          <w:p>
            <w:pPr>
              <w:pStyle w:val="Compact"/>
              <w:jc w:val="left"/>
            </w:pPr>
            <w:r>
              <w:t xml:space="preserve">Metric</w:t>
            </w:r>
          </w:p>
        </w:tc>
        <w:tc>
          <w:tcPr>
            <w:tcW w:type="dxa" w:w="1872"/>
          </w:tcPr>
          <w:p>
            <w:pPr>
              <w:pStyle w:val="Compact"/>
              <w:jc w:val="left"/>
            </w:pPr>
            <w:r>
              <w:t xml:space="preserve">Mean diff (pp)</w:t>
            </w:r>
          </w:p>
        </w:tc>
        <w:tc>
          <w:tcPr>
            <w:tcW w:type="dxa" w:w="1872"/>
          </w:tcPr>
          <w:p>
            <w:pPr>
              <w:pStyle w:val="Compact"/>
              <w:jc w:val="left"/>
            </w:pPr>
            <w:r>
              <w:t xml:space="preserve">p-value</w:t>
            </w:r>
          </w:p>
        </w:tc>
        <w:tc>
          <w:tcPr>
            <w:tcW w:type="dxa" w:w="1872"/>
          </w:tcPr>
          <w:p>
            <w:pPr>
              <w:pStyle w:val="Compact"/>
              <w:jc w:val="left"/>
            </w:pPr>
            <w:r>
              <w:t xml:space="preserve">Significant?</w:t>
            </w:r>
          </w:p>
        </w:tc>
      </w:tr>
      <w:tr>
        <w:tc>
          <w:tcPr>
            <w:tcW w:type="dxa" w:w="1872"/>
          </w:tcPr>
          <w:p>
            <w:pPr>
              <w:pStyle w:val="Compact"/>
              <w:jc w:val="left"/>
            </w:pPr>
            <w:r>
              <w:t xml:space="preserve">DeepONet vs flow</w:t>
            </w:r>
          </w:p>
        </w:tc>
        <w:tc>
          <w:tcPr>
            <w:tcW w:type="dxa" w:w="1872"/>
          </w:tcPr>
          <w:p>
            <w:pPr>
              <w:pStyle w:val="Compact"/>
              <w:jc w:val="left"/>
            </w:pPr>
            <w:r>
              <w:t xml:space="preserve">in-dist</w:t>
            </w:r>
          </w:p>
        </w:tc>
        <w:tc>
          <w:tcPr>
            <w:tcW w:type="dxa" w:w="1872"/>
          </w:tcPr>
          <w:p>
            <w:pPr>
              <w:pStyle w:val="Compact"/>
              <w:jc w:val="left"/>
            </w:pPr>
            <w:r>
              <w:t xml:space="preserve">+0.9</w:t>
            </w:r>
          </w:p>
        </w:tc>
        <w:tc>
          <w:tcPr>
            <w:tcW w:type="dxa" w:w="1872"/>
          </w:tcPr>
          <w:p>
            <w:pPr>
              <w:pStyle w:val="Compact"/>
              <w:jc w:val="left"/>
            </w:pPr>
            <w:r>
              <w:t xml:space="preserve">0.61</w:t>
            </w:r>
          </w:p>
        </w:tc>
        <w:tc>
          <w:tcPr>
            <w:tcW w:type="dxa" w:w="1872"/>
          </w:tcPr>
          <w:p>
            <w:pPr>
              <w:pStyle w:val="Compact"/>
              <w:jc w:val="left"/>
            </w:pPr>
            <w:r>
              <w:t xml:space="preserve">no (a tie)</w:t>
            </w:r>
          </w:p>
        </w:tc>
      </w:tr>
      <w:tr>
        <w:tc>
          <w:tcPr>
            <w:tcW w:type="dxa" w:w="1872"/>
          </w:tcPr>
          <w:p>
            <w:pPr>
              <w:pStyle w:val="Compact"/>
              <w:jc w:val="left"/>
            </w:pPr>
            <w:r>
              <w:t xml:space="preserve">DeepONet vs flow</w:t>
            </w:r>
          </w:p>
        </w:tc>
        <w:tc>
          <w:tcPr>
            <w:tcW w:type="dxa" w:w="1872"/>
          </w:tcPr>
          <w:p>
            <w:pPr>
              <w:pStyle w:val="Compact"/>
              <w:jc w:val="left"/>
            </w:pPr>
            <w:r>
              <w:t xml:space="preserve">robustness</w:t>
            </w:r>
          </w:p>
        </w:tc>
        <w:tc>
          <w:tcPr>
            <w:tcW w:type="dxa" w:w="1872"/>
          </w:tcPr>
          <w:p>
            <w:pPr>
              <w:pStyle w:val="Compact"/>
              <w:jc w:val="left"/>
            </w:pPr>
            <w:r>
              <w:t xml:space="preserve">+20.6</w:t>
            </w:r>
          </w:p>
        </w:tc>
        <w:tc>
          <w:tcPr>
            <w:tcW w:type="dxa" w:w="1872"/>
          </w:tcPr>
          <w:p>
            <w:pPr>
              <w:pStyle w:val="Compact"/>
              <w:jc w:val="left"/>
            </w:pPr>
            <w:r>
              <w:t xml:space="preserve">1.1e-06</w:t>
            </w:r>
          </w:p>
        </w:tc>
        <w:tc>
          <w:tcPr>
            <w:tcW w:type="dxa" w:w="1872"/>
          </w:tcPr>
          <w:p>
            <w:pPr>
              <w:pStyle w:val="Compact"/>
              <w:jc w:val="left"/>
            </w:pPr>
            <w:r>
              <w:t xml:space="preserve">yes</w:t>
            </w:r>
          </w:p>
        </w:tc>
      </w:tr>
      <w:tr>
        <w:tc>
          <w:tcPr>
            <w:tcW w:type="dxa" w:w="1872"/>
          </w:tcPr>
          <w:p>
            <w:pPr>
              <w:pStyle w:val="Compact"/>
              <w:jc w:val="left"/>
            </w:pPr>
            <w:r>
              <w:t xml:space="preserve">DeepONet + PH vs flow</w:t>
            </w:r>
          </w:p>
        </w:tc>
        <w:tc>
          <w:tcPr>
            <w:tcW w:type="dxa" w:w="1872"/>
          </w:tcPr>
          <w:p>
            <w:pPr>
              <w:pStyle w:val="Compact"/>
              <w:jc w:val="left"/>
            </w:pPr>
            <w:r>
              <w:t xml:space="preserve">robustness</w:t>
            </w:r>
          </w:p>
        </w:tc>
        <w:tc>
          <w:tcPr>
            <w:tcW w:type="dxa" w:w="1872"/>
          </w:tcPr>
          <w:p>
            <w:pPr>
              <w:pStyle w:val="Compact"/>
              <w:jc w:val="left"/>
            </w:pPr>
            <w:r>
              <w:t xml:space="preserve">+14.7</w:t>
            </w:r>
          </w:p>
        </w:tc>
        <w:tc>
          <w:tcPr>
            <w:tcW w:type="dxa" w:w="1872"/>
          </w:tcPr>
          <w:p>
            <w:pPr>
              <w:pStyle w:val="Compact"/>
              <w:jc w:val="left"/>
            </w:pPr>
            <w:r>
              <w:t xml:space="preserve">1.3e-04</w:t>
            </w:r>
          </w:p>
        </w:tc>
        <w:tc>
          <w:tcPr>
            <w:tcW w:type="dxa" w:w="1872"/>
          </w:tcPr>
          <w:p>
            <w:pPr>
              <w:pStyle w:val="Compact"/>
              <w:jc w:val="left"/>
            </w:pPr>
            <w:r>
              <w:t xml:space="preserve">yes</w:t>
            </w:r>
          </w:p>
        </w:tc>
      </w:tr>
      <w:tr>
        <w:tc>
          <w:tcPr>
            <w:tcW w:type="dxa" w:w="1872"/>
          </w:tcPr>
          <w:p>
            <w:pPr>
              <w:pStyle w:val="Compact"/>
              <w:jc w:val="left"/>
            </w:pPr>
            <w:r>
              <w:t xml:space="preserve">DeepONet + PH vs DeepONet</w:t>
            </w:r>
          </w:p>
        </w:tc>
        <w:tc>
          <w:tcPr>
            <w:tcW w:type="dxa" w:w="1872"/>
          </w:tcPr>
          <w:p>
            <w:pPr>
              <w:pStyle w:val="Compact"/>
              <w:jc w:val="left"/>
            </w:pPr>
            <w:r>
              <w:t xml:space="preserve">robustness</w:t>
            </w:r>
          </w:p>
        </w:tc>
        <w:tc>
          <w:tcPr>
            <w:tcW w:type="dxa" w:w="1872"/>
          </w:tcPr>
          <w:p>
            <w:pPr>
              <w:pStyle w:val="Compact"/>
              <w:jc w:val="left"/>
            </w:pPr>
            <w:r>
              <w:t xml:space="preserve">-5.9</w:t>
            </w:r>
          </w:p>
        </w:tc>
        <w:tc>
          <w:tcPr>
            <w:tcW w:type="dxa" w:w="1872"/>
          </w:tcPr>
          <w:p>
            <w:pPr>
              <w:pStyle w:val="Compact"/>
              <w:jc w:val="left"/>
            </w:pPr>
            <w:r>
              <w:t xml:space="preserve">0.032</w:t>
            </w:r>
          </w:p>
        </w:tc>
        <w:tc>
          <w:tcPr>
            <w:tcW w:type="dxa" w:w="1872"/>
          </w:tcPr>
          <w:p>
            <w:pPr>
              <w:pStyle w:val="Compact"/>
              <w:jc w:val="left"/>
            </w:pPr>
            <w:r>
              <w:t xml:space="preserve">yes (PH hurts)</w:t>
            </w:r>
          </w:p>
        </w:tc>
      </w:tr>
      <w:tr>
        <w:tc>
          <w:tcPr>
            <w:tcW w:type="dxa" w:w="1872"/>
          </w:tcPr>
          <w:p>
            <w:pPr>
              <w:pStyle w:val="Compact"/>
              <w:jc w:val="left"/>
            </w:pPr>
            <w:r>
              <w:t xml:space="preserve">DeepONet-v2 vs DeepONet-v1</w:t>
            </w:r>
          </w:p>
        </w:tc>
        <w:tc>
          <w:tcPr>
            <w:tcW w:type="dxa" w:w="1872"/>
          </w:tcPr>
          <w:p>
            <w:pPr>
              <w:pStyle w:val="Compact"/>
              <w:jc w:val="left"/>
            </w:pPr>
            <w:r>
              <w:t xml:space="preserve">in-dist</w:t>
            </w:r>
          </w:p>
        </w:tc>
        <w:tc>
          <w:tcPr>
            <w:tcW w:type="dxa" w:w="1872"/>
          </w:tcPr>
          <w:p>
            <w:pPr>
              <w:pStyle w:val="Compact"/>
              <w:jc w:val="left"/>
            </w:pPr>
            <w:r>
              <w:t xml:space="preserve">+28.5</w:t>
            </w:r>
          </w:p>
        </w:tc>
        <w:tc>
          <w:tcPr>
            <w:tcW w:type="dxa" w:w="1872"/>
          </w:tcPr>
          <w:p>
            <w:pPr>
              <w:pStyle w:val="Compact"/>
              <w:jc w:val="left"/>
            </w:pPr>
            <w:r>
              <w:t xml:space="preserve">5.8e-08</w:t>
            </w:r>
          </w:p>
        </w:tc>
        <w:tc>
          <w:tcPr>
            <w:tcW w:type="dxa" w:w="1872"/>
          </w:tcPr>
          <w:p>
            <w:pPr>
              <w:pStyle w:val="Compact"/>
              <w:jc w:val="left"/>
            </w:pPr>
            <w:r>
              <w:t xml:space="preserve">yes</w:t>
            </w:r>
          </w:p>
        </w:tc>
      </w:tr>
    </w:tbl>
    <w:p>
      <w:pPr>
        <w:pStyle w:val="BodyText"/>
      </w:pPr>
      <w:r>
        <w:t xml:space="preserve">Plainly: the in-distribution DeepONet-vs-flow difference is</w:t>
      </w:r>
      <w:r>
        <w:t xml:space="preserve"> </w:t>
      </w:r>
      <w:r>
        <w:rPr>
          <w:bCs/>
          <w:b/>
        </w:rPr>
        <w:t xml:space="preserve">not</w:t>
      </w:r>
      <w:r>
        <w:t xml:space="preserve"> </w:t>
      </w:r>
      <w:r>
        <w:t xml:space="preserve">significant (a tie), but the</w:t>
      </w:r>
      <w:r>
        <w:t xml:space="preserve"> </w:t>
      </w:r>
      <w:r>
        <w:t xml:space="preserve">robustness difference</w:t>
      </w:r>
      <w:r>
        <w:t xml:space="preserve"> </w:t>
      </w:r>
      <w:r>
        <w:rPr>
          <w:bCs/>
          <w:b/>
        </w:rPr>
        <w:t xml:space="preserve">is</w:t>
      </w:r>
      <w:r>
        <w:t xml:space="preserve"> </w:t>
      </w:r>
      <w:r>
        <w:t xml:space="preserve">(a real, large win). Adding PH</w:t>
      </w:r>
      <w:r>
        <w:t xml:space="preserve"> </w:t>
      </w:r>
      <w:r>
        <w:rPr>
          <w:bCs/>
          <w:b/>
        </w:rPr>
        <w:t xml:space="preserve">significantly reduces</w:t>
      </w:r>
      <w:r>
        <w:t xml:space="preserve"> </w:t>
      </w:r>
      <w:r>
        <w:t xml:space="preserve">robustness, which is</w:t>
      </w:r>
      <w:r>
        <w:t xml:space="preserve"> </w:t>
      </w:r>
      <w:r>
        <w:t xml:space="preserve">why our final module leaves it off. The last row is our own earlier head (version 1), which was much</w:t>
      </w:r>
      <w:r>
        <w:t xml:space="preserve"> </w:t>
      </w:r>
      <w:r>
        <w:t xml:space="preserve">weaker in-distribution; version 2, with the cross-attention pooler, fixed that.</w:t>
      </w:r>
    </w:p>
    <w:bookmarkEnd w:id="51"/>
    <w:bookmarkStart w:id="54" w:name="efficiency-and-a-generalisation-check"/>
    <w:p>
      <w:pPr>
        <w:pStyle w:val="Heading3"/>
      </w:pPr>
      <w:r>
        <w:t xml:space="preserve">5.2.8 Efficiency, and a generalisation check</w:t>
      </w:r>
    </w:p>
    <w:p>
      <w:pPr>
        <w:pStyle w:val="FirstParagraph"/>
      </w:pPr>
      <w:r>
        <w:t xml:space="preserve">The operator head is far cheaper — 10.4M vs 99.9M parameters and about 29.5 ms vs 148 ms per prediction.</w:t>
      </w:r>
    </w:p>
    <w:p>
      <w:pPr>
        <w:pStyle w:val="CaptionedFigure"/>
      </w:pPr>
      <w:r>
        <w:drawing>
          <wp:inline>
            <wp:extent cx="3931919" cy="2808514"/>
            <wp:effectExtent b="0" l="0" r="0" t="0"/>
            <wp:docPr descr="Action-head parameter counts for the three SmolVLA heads." title="" id="1" name="Picture"/>
            <a:graphic>
              <a:graphicData uri="http://schemas.openxmlformats.org/drawingml/2006/picture">
                <pic:pic>
                  <pic:nvPicPr>
                    <pic:cNvPr descr="plots_embedded/smolvla_parameters.png" id="0" name="Picture"/>
                    <pic:cNvPicPr>
                      <a:picLocks noChangeArrowheads="1" noChangeAspect="1"/>
                    </pic:cNvPicPr>
                  </pic:nvPicPr>
                  <pic:blipFill>
                    <a:blip r:embed="rId52"/>
                    <a:stretch>
                      <a:fillRect/>
                    </a:stretch>
                  </pic:blipFill>
                  <pic:spPr bwMode="auto">
                    <a:xfrm>
                      <a:off x="0" y="0"/>
                      <a:ext cx="3931919" cy="2808514"/>
                    </a:xfrm>
                    <a:prstGeom prst="rect">
                      <a:avLst/>
                    </a:prstGeom>
                    <a:noFill/>
                    <a:ln w="9525">
                      <a:noFill/>
                      <a:headEnd/>
                      <a:tailEnd/>
                    </a:ln>
                  </pic:spPr>
                </pic:pic>
              </a:graphicData>
            </a:graphic>
          </wp:inline>
        </w:drawing>
      </w:r>
    </w:p>
    <w:p>
      <w:pPr>
        <w:pStyle w:val="ImageCaption"/>
      </w:pPr>
      <w:r>
        <w:t xml:space="preserve">Action-head parameter counts for the three SmolVLA heads.</w:t>
      </w:r>
    </w:p>
    <w:p>
      <w:pPr>
        <w:pStyle w:val="CaptionedFigure"/>
      </w:pPr>
      <w:r>
        <w:drawing>
          <wp:inline>
            <wp:extent cx="3931919" cy="2808514"/>
            <wp:effectExtent b="0" l="0" r="0" t="0"/>
            <wp:docPr descr="Inference latency: the operator head is roughly five times faster than the flow head." title="" id="1" name="Picture"/>
            <a:graphic>
              <a:graphicData uri="http://schemas.openxmlformats.org/drawingml/2006/picture">
                <pic:pic>
                  <pic:nvPicPr>
                    <pic:cNvPr descr="plots_embedded/smolvla_latency.png" id="0" name="Picture"/>
                    <pic:cNvPicPr>
                      <a:picLocks noChangeArrowheads="1" noChangeAspect="1"/>
                    </pic:cNvPicPr>
                  </pic:nvPicPr>
                  <pic:blipFill>
                    <a:blip r:embed="rId53"/>
                    <a:stretch>
                      <a:fillRect/>
                    </a:stretch>
                  </pic:blipFill>
                  <pic:spPr bwMode="auto">
                    <a:xfrm>
                      <a:off x="0" y="0"/>
                      <a:ext cx="3931919" cy="2808514"/>
                    </a:xfrm>
                    <a:prstGeom prst="rect">
                      <a:avLst/>
                    </a:prstGeom>
                    <a:noFill/>
                    <a:ln w="9525">
                      <a:noFill/>
                      <a:headEnd/>
                      <a:tailEnd/>
                    </a:ln>
                  </pic:spPr>
                </pic:pic>
              </a:graphicData>
            </a:graphic>
          </wp:inline>
        </w:drawing>
      </w:r>
    </w:p>
    <w:p>
      <w:pPr>
        <w:pStyle w:val="ImageCaption"/>
      </w:pPr>
      <w:r>
        <w:t xml:space="preserve">Inference latency: the operator head is roughly five times faster than the flow head.</w:t>
      </w:r>
    </w:p>
    <w:p>
      <w:pPr>
        <w:pStyle w:val="BodyText"/>
      </w:pPr>
      <w:r>
        <w:t xml:space="preserve">As a small anti-memorisation check, we evaluated on LIBERO-Goal with the object layout shifted by amounts</w:t>
      </w:r>
      <w:r>
        <w:t xml:space="preserve"> </w:t>
      </w:r>
      <w:r>
        <w:t xml:space="preserve">never seen (offsets 0, 20, 30): success stayed at 91.5%, 88.0% and 91.5%, so the model generalises to</w:t>
      </w:r>
      <w:r>
        <w:t xml:space="preserve"> </w:t>
      </w:r>
      <w:r>
        <w:t xml:space="preserve">layout changes rather than memorising positions.</w:t>
      </w:r>
    </w:p>
    <w:bookmarkEnd w:id="54"/>
    <w:bookmarkEnd w:id="55"/>
    <w:bookmarkEnd w:id="56"/>
    <w:bookmarkStart w:id="73" w:name="study-2-act"/>
    <w:p>
      <w:pPr>
        <w:pStyle w:val="Heading1"/>
      </w:pPr>
      <w:r>
        <w:t xml:space="preserve">6. Study 2 — ACT</w:t>
      </w:r>
    </w:p>
    <w:bookmarkStart w:id="57" w:name="why-we-moved-from-smolvla-to-act"/>
    <w:p>
      <w:pPr>
        <w:pStyle w:val="Heading2"/>
      </w:pPr>
      <w:r>
        <w:t xml:space="preserve">6.1 Why we moved from SmolVLA to ACT</w:t>
      </w:r>
    </w:p>
    <w:p>
      <w:pPr>
        <w:pStyle w:val="FirstParagraph"/>
      </w:pPr>
      <w:r>
        <w:t xml:space="preserve">The SmolVLA study gave a strong robustness result, but it had one weakness we wanted to remove: the</w:t>
      </w:r>
      <w:r>
        <w:t xml:space="preserve"> </w:t>
      </w:r>
      <w:r>
        <w:t xml:space="preserve">robustness numbers were measured on a</w:t>
      </w:r>
      <w:r>
        <w:t xml:space="preserve"> </w:t>
      </w:r>
      <w:r>
        <w:rPr>
          <w:bCs/>
          <w:b/>
        </w:rPr>
        <w:t xml:space="preserve">single suite</w:t>
      </w:r>
      <w:r>
        <w:t xml:space="preserve"> </w:t>
      </w:r>
      <w:r>
        <w:t xml:space="preserve">(Spatial), because each SmolVLA run is large and</w:t>
      </w:r>
      <w:r>
        <w:t xml:space="preserve"> </w:t>
      </w:r>
      <w:r>
        <w:t xml:space="preserve">slow. To make the robustness claim trustworthy we needed a model small enough to run the</w:t>
      </w:r>
      <w:r>
        <w:t xml:space="preserve"> </w:t>
      </w:r>
      <w:r>
        <w:rPr>
          <w:bCs/>
          <w:b/>
        </w:rPr>
        <w:t xml:space="preserve">full four</w:t>
      </w:r>
      <w:r>
        <w:rPr>
          <w:bCs/>
          <w:b/>
        </w:rPr>
        <w:t xml:space="preserve"> </w:t>
      </w:r>
      <w:r>
        <w:rPr>
          <w:bCs/>
          <w:b/>
        </w:rPr>
        <w:t xml:space="preserve">suites with LIBERO-Plus and several seeds</w:t>
      </w:r>
      <w:r>
        <w:t xml:space="preserve">, and ACT is exactly that — a compact, widely-used policy that</w:t>
      </w:r>
      <w:r>
        <w:t xml:space="preserve"> </w:t>
      </w:r>
      <w:r>
        <w:t xml:space="preserve">trains quickly. ACT also comes with its own strong, purpose-built action head (a transformer decoder), so</w:t>
      </w:r>
      <w:r>
        <w:t xml:space="preserve"> </w:t>
      </w:r>
      <w:r>
        <w:t xml:space="preserve">swapping in the DeepONet head is a fair</w:t>
      </w:r>
      <w:r>
        <w:t xml:space="preserve"> </w:t>
      </w:r>
      <w:r>
        <w:t xml:space="preserve">“</w:t>
      </w:r>
      <w:r>
        <w:t xml:space="preserve">operator vs a real specialised head</w:t>
      </w:r>
      <w:r>
        <w:t xml:space="preserve">”</w:t>
      </w:r>
      <w:r>
        <w:t xml:space="preserve"> </w:t>
      </w:r>
      <w:r>
        <w:t xml:space="preserve">test on a</w:t>
      </w:r>
      <w:r>
        <w:t xml:space="preserve"> </w:t>
      </w:r>
      <w:r>
        <w:rPr>
          <w:bCs/>
          <w:b/>
        </w:rPr>
        <w:t xml:space="preserve">different</w:t>
      </w:r>
      <w:r>
        <w:rPr>
          <w:bCs/>
          <w:b/>
        </w:rPr>
        <w:t xml:space="preserve"> </w:t>
      </w:r>
      <w:r>
        <w:rPr>
          <w:bCs/>
          <w:b/>
        </w:rPr>
        <w:t xml:space="preserve">architecture</w:t>
      </w:r>
      <w:r>
        <w:t xml:space="preserve">. In other words, moving to ACT lets us check that the operator’s benefits are not specific</w:t>
      </w:r>
      <w:r>
        <w:t xml:space="preserve"> </w:t>
      </w:r>
      <w:r>
        <w:t xml:space="preserve">to SmolVLA and that they hold up under a more complete robustness evaluation.</w:t>
      </w:r>
    </w:p>
    <w:bookmarkEnd w:id="57"/>
    <w:bookmarkStart w:id="59" w:name="the-act-model-with-the-deeponet-head"/>
    <w:p>
      <w:pPr>
        <w:pStyle w:val="Heading2"/>
      </w:pPr>
      <w:r>
        <w:t xml:space="preserve">6.2 The ACT model with the DeepONet head</w:t>
      </w:r>
    </w:p>
    <w:p>
      <w:pPr>
        <w:pStyle w:val="FirstParagraph"/>
      </w:pPr>
      <w:r>
        <w:t xml:space="preserve">ACT uses a ResNet image encoder and a transformer encoder; its baseline head is a 7-layer transformer</w:t>
      </w:r>
      <w:r>
        <w:t xml:space="preserve"> </w:t>
      </w:r>
      <w:r>
        <w:t xml:space="preserve">decoder (~38M). We swap that for the DeepONet head (~10M) and also try the PH loss (Figure 8).</w:t>
      </w:r>
    </w:p>
    <w:p>
      <w:pPr>
        <w:pStyle w:val="CaptionedFigure"/>
      </w:pPr>
      <w:r>
        <w:drawing>
          <wp:inline>
            <wp:extent cx="5334000" cy="2273916"/>
            <wp:effectExtent b="0" l="0" r="0" t="0"/>
            <wp:docPr descr="Figure 8. ACT with the DeepONet action head. The inner boundary is the head we replace (the baseline is a transformer decoder); the outer boundary is the whole model; the persistent-homology loss is a training-only term." title="" id="1" name="Picture"/>
            <a:graphic>
              <a:graphicData uri="http://schemas.openxmlformats.org/drawingml/2006/picture">
                <pic:pic>
                  <pic:nvPicPr>
                    <pic:cNvPr descr="diagrams_emf/fig08_act.emf" id="0" name="Picture"/>
                    <pic:cNvPicPr>
                      <a:picLocks noChangeArrowheads="1" noChangeAspect="1"/>
                    </pic:cNvPicPr>
                  </pic:nvPicPr>
                  <pic:blipFill>
                    <a:blip r:embed="rId58"/>
                    <a:stretch>
                      <a:fillRect/>
                    </a:stretch>
                  </pic:blipFill>
                  <pic:spPr bwMode="auto">
                    <a:xfrm>
                      <a:off x="0" y="0"/>
                      <a:ext cx="5334000" cy="2273916"/>
                    </a:xfrm>
                    <a:prstGeom prst="rect">
                      <a:avLst/>
                    </a:prstGeom>
                    <a:noFill/>
                    <a:ln w="9525">
                      <a:noFill/>
                      <a:headEnd/>
                      <a:tailEnd/>
                    </a:ln>
                  </pic:spPr>
                </pic:pic>
              </a:graphicData>
            </a:graphic>
          </wp:inline>
        </w:drawing>
      </w:r>
    </w:p>
    <w:p>
      <w:pPr>
        <w:pStyle w:val="ImageCaption"/>
      </w:pPr>
      <w:r>
        <w:t xml:space="preserve">Figure 8. ACT with the DeepONet action head. The inner boundary is the head we replace (the baseline is a transformer decoder); the outer boundary is the whole model; the persistent-homology loss is a training-only term.</w:t>
      </w:r>
    </w:p>
    <w:bookmarkEnd w:id="59"/>
    <w:bookmarkStart w:id="72" w:name="act-results"/>
    <w:p>
      <w:pPr>
        <w:pStyle w:val="Heading2"/>
      </w:pPr>
      <w:r>
        <w:t xml:space="preserve">6.3 ACT results</w:t>
      </w:r>
    </w:p>
    <w:p>
      <w:pPr>
        <w:pStyle w:val="FirstParagraph"/>
      </w:pPr>
      <w:r>
        <w:t xml:space="preserve">Here we evaluated all four suites with three seeds, and we have LIBERO-Plus robustness on all four suites</w:t>
      </w:r>
      <w:r>
        <w:t xml:space="preserve"> </w:t>
      </w:r>
      <w:r>
        <w:t xml:space="preserve">(not just Spatial).</w:t>
      </w:r>
    </w:p>
    <w:bookmarkStart w:id="62" w:name="in-distribution"/>
    <w:p>
      <w:pPr>
        <w:pStyle w:val="Heading3"/>
      </w:pPr>
      <w:r>
        <w:t xml:space="preserve">6.3.1 In-distribution (%)</w:t>
      </w:r>
    </w:p>
    <w:tbl>
      <w:tblPr>
        <w:tblStyle w:val="Table"/>
        <w:tblW w:type="dxa" w:w="9360"/>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tblPr>
      <w:tblGrid>
        <w:gridCol w:w="2340"/>
        <w:gridCol w:w="2340"/>
        <w:gridCol w:w="2340"/>
        <w:gridCol w:w="2340"/>
      </w:tblGrid>
      <w:tr>
        <w:tc>
          <w:tcPr>
            <w:tcW w:type="dxa" w:w="2340"/>
          </w:tcPr>
          <w:p>
            <w:pPr>
              <w:pStyle w:val="Compact"/>
              <w:jc w:val="left"/>
            </w:pPr>
            <w:r>
              <w:t xml:space="preserve">Suite</w:t>
            </w:r>
          </w:p>
        </w:tc>
        <w:tc>
          <w:tcPr>
            <w:tcW w:type="dxa" w:w="2340"/>
          </w:tcPr>
          <w:p>
            <w:pPr>
              <w:pStyle w:val="Compact"/>
              <w:jc w:val="left"/>
            </w:pPr>
            <w:r>
              <w:t xml:space="preserve">ACT (baseline)</w:t>
            </w:r>
          </w:p>
        </w:tc>
        <w:tc>
          <w:tcPr>
            <w:tcW w:type="dxa" w:w="2340"/>
          </w:tcPr>
          <w:p>
            <w:pPr>
              <w:pStyle w:val="Compact"/>
              <w:jc w:val="left"/>
            </w:pPr>
            <w:r>
              <w:t xml:space="preserve">ACT + DeepONet</w:t>
            </w:r>
          </w:p>
        </w:tc>
        <w:tc>
          <w:tcPr>
            <w:tcW w:type="dxa" w:w="2340"/>
          </w:tcPr>
          <w:p>
            <w:pPr>
              <w:pStyle w:val="Compact"/>
              <w:jc w:val="left"/>
            </w:pPr>
            <w:r>
              <w:t xml:space="preserve">ACT + DeepONet + PH</w:t>
            </w:r>
          </w:p>
        </w:tc>
      </w:tr>
      <w:tr>
        <w:tc>
          <w:tcPr>
            <w:tcW w:type="dxa" w:w="2340"/>
          </w:tcPr>
          <w:p>
            <w:pPr>
              <w:pStyle w:val="Compact"/>
              <w:jc w:val="left"/>
            </w:pPr>
            <w:r>
              <w:t xml:space="preserve">LIBERO-Spatial</w:t>
            </w:r>
          </w:p>
        </w:tc>
        <w:tc>
          <w:tcPr>
            <w:tcW w:type="dxa" w:w="2340"/>
          </w:tcPr>
          <w:p>
            <w:pPr>
              <w:pStyle w:val="Compact"/>
              <w:jc w:val="left"/>
            </w:pPr>
            <w:r>
              <w:t xml:space="preserve">83.7</w:t>
            </w:r>
          </w:p>
        </w:tc>
        <w:tc>
          <w:tcPr>
            <w:tcW w:type="dxa" w:w="2340"/>
          </w:tcPr>
          <w:p>
            <w:pPr>
              <w:pStyle w:val="Compact"/>
              <w:jc w:val="left"/>
            </w:pPr>
            <w:r>
              <w:t xml:space="preserve">83.7</w:t>
            </w:r>
          </w:p>
        </w:tc>
        <w:tc>
          <w:tcPr>
            <w:tcW w:type="dxa" w:w="2340"/>
          </w:tcPr>
          <w:p>
            <w:pPr>
              <w:pStyle w:val="Compact"/>
              <w:jc w:val="left"/>
            </w:pPr>
            <w:r>
              <w:t xml:space="preserve">78.0</w:t>
            </w:r>
          </w:p>
        </w:tc>
      </w:tr>
      <w:tr>
        <w:tc>
          <w:tcPr>
            <w:tcW w:type="dxa" w:w="2340"/>
          </w:tcPr>
          <w:p>
            <w:pPr>
              <w:pStyle w:val="Compact"/>
              <w:jc w:val="left"/>
            </w:pPr>
            <w:r>
              <w:t xml:space="preserve">LIBERO-Object</w:t>
            </w:r>
          </w:p>
        </w:tc>
        <w:tc>
          <w:tcPr>
            <w:tcW w:type="dxa" w:w="2340"/>
          </w:tcPr>
          <w:p>
            <w:pPr>
              <w:pStyle w:val="Compact"/>
              <w:jc w:val="left"/>
            </w:pPr>
            <w:r>
              <w:t xml:space="preserve">81.7</w:t>
            </w:r>
          </w:p>
        </w:tc>
        <w:tc>
          <w:tcPr>
            <w:tcW w:type="dxa" w:w="2340"/>
          </w:tcPr>
          <w:p>
            <w:pPr>
              <w:pStyle w:val="Compact"/>
              <w:jc w:val="left"/>
            </w:pPr>
            <w:r>
              <w:t xml:space="preserve">87.0</w:t>
            </w:r>
          </w:p>
        </w:tc>
        <w:tc>
          <w:tcPr>
            <w:tcW w:type="dxa" w:w="2340"/>
          </w:tcPr>
          <w:p>
            <w:pPr>
              <w:pStyle w:val="Compact"/>
              <w:jc w:val="left"/>
            </w:pPr>
            <w:r>
              <w:t xml:space="preserve">72.0</w:t>
            </w:r>
          </w:p>
        </w:tc>
      </w:tr>
      <w:tr>
        <w:tc>
          <w:tcPr>
            <w:tcW w:type="dxa" w:w="2340"/>
          </w:tcPr>
          <w:p>
            <w:pPr>
              <w:pStyle w:val="Compact"/>
              <w:jc w:val="left"/>
            </w:pPr>
            <w:r>
              <w:t xml:space="preserve">LIBERO-Long</w:t>
            </w:r>
          </w:p>
        </w:tc>
        <w:tc>
          <w:tcPr>
            <w:tcW w:type="dxa" w:w="2340"/>
          </w:tcPr>
          <w:p>
            <w:pPr>
              <w:pStyle w:val="Compact"/>
              <w:jc w:val="left"/>
            </w:pPr>
            <w:r>
              <w:t xml:space="preserve">54.7</w:t>
            </w:r>
          </w:p>
        </w:tc>
        <w:tc>
          <w:tcPr>
            <w:tcW w:type="dxa" w:w="2340"/>
          </w:tcPr>
          <w:p>
            <w:pPr>
              <w:pStyle w:val="Compact"/>
              <w:jc w:val="left"/>
            </w:pPr>
            <w:r>
              <w:t xml:space="preserve">62.7</w:t>
            </w:r>
          </w:p>
        </w:tc>
        <w:tc>
          <w:tcPr>
            <w:tcW w:type="dxa" w:w="2340"/>
          </w:tcPr>
          <w:p>
            <w:pPr>
              <w:pStyle w:val="Compact"/>
              <w:jc w:val="left"/>
            </w:pPr>
            <w:r>
              <w:t xml:space="preserve">50.0</w:t>
            </w:r>
          </w:p>
        </w:tc>
      </w:tr>
      <w:tr>
        <w:tc>
          <w:tcPr>
            <w:tcW w:type="dxa" w:w="2340"/>
          </w:tcPr>
          <w:p>
            <w:pPr>
              <w:pStyle w:val="Compact"/>
              <w:jc w:val="left"/>
            </w:pPr>
            <w:r>
              <w:t xml:space="preserve">LIBERO-Goal</w:t>
            </w:r>
          </w:p>
        </w:tc>
        <w:tc>
          <w:tcPr>
            <w:tcW w:type="dxa" w:w="2340"/>
          </w:tcPr>
          <w:p>
            <w:pPr>
              <w:pStyle w:val="Compact"/>
              <w:jc w:val="left"/>
            </w:pPr>
            <w:r>
              <w:t xml:space="preserve">83.3</w:t>
            </w:r>
          </w:p>
        </w:tc>
        <w:tc>
          <w:tcPr>
            <w:tcW w:type="dxa" w:w="2340"/>
          </w:tcPr>
          <w:p>
            <w:pPr>
              <w:pStyle w:val="Compact"/>
              <w:jc w:val="left"/>
            </w:pPr>
            <w:r>
              <w:t xml:space="preserve">86.3</w:t>
            </w:r>
          </w:p>
        </w:tc>
        <w:tc>
          <w:tcPr>
            <w:tcW w:type="dxa" w:w="2340"/>
          </w:tcPr>
          <w:p>
            <w:pPr>
              <w:pStyle w:val="Compact"/>
              <w:jc w:val="left"/>
            </w:pPr>
            <w:r>
              <w:t xml:space="preserve">85.0</w:t>
            </w:r>
          </w:p>
        </w:tc>
      </w:tr>
      <w:tr>
        <w:tc>
          <w:tcPr>
            <w:tcW w:type="dxa" w:w="2340"/>
          </w:tcPr>
          <w:p>
            <w:pPr>
              <w:pStyle w:val="Compact"/>
              <w:jc w:val="left"/>
            </w:pPr>
            <w:r>
              <w:rPr>
                <w:bCs/>
                <w:b/>
              </w:rPr>
              <w:t xml:space="preserve">Average</w:t>
            </w:r>
          </w:p>
        </w:tc>
        <w:tc>
          <w:tcPr>
            <w:tcW w:type="dxa" w:w="2340"/>
          </w:tcPr>
          <w:p>
            <w:pPr>
              <w:pStyle w:val="Compact"/>
              <w:jc w:val="left"/>
            </w:pPr>
            <w:r>
              <w:rPr>
                <w:bCs/>
                <w:b/>
              </w:rPr>
              <w:t xml:space="preserve">75.9</w:t>
            </w:r>
          </w:p>
        </w:tc>
        <w:tc>
          <w:tcPr>
            <w:tcW w:type="dxa" w:w="2340"/>
          </w:tcPr>
          <w:p>
            <w:pPr>
              <w:pStyle w:val="Compact"/>
              <w:jc w:val="left"/>
            </w:pPr>
            <w:r>
              <w:rPr>
                <w:bCs/>
                <w:b/>
              </w:rPr>
              <w:t xml:space="preserve">79.9</w:t>
            </w:r>
          </w:p>
        </w:tc>
        <w:tc>
          <w:tcPr>
            <w:tcW w:type="dxa" w:w="2340"/>
          </w:tcPr>
          <w:p>
            <w:pPr>
              <w:pStyle w:val="Compact"/>
              <w:jc w:val="left"/>
            </w:pPr>
            <w:r>
              <w:rPr>
                <w:bCs/>
                <w:b/>
              </w:rPr>
              <w:t xml:space="preserve">71.3</w:t>
            </w:r>
          </w:p>
        </w:tc>
      </w:tr>
    </w:tbl>
    <w:p>
      <w:pPr>
        <w:pStyle w:val="BodyText"/>
      </w:pPr>
      <w:r>
        <w:t xml:space="preserve">DeepONet is at least as good as the baseline on every suite (a tie on Spatial, wins on the other three),</w:t>
      </w:r>
      <w:r>
        <w:t xml:space="preserve"> </w:t>
      </w:r>
      <w:r>
        <w:t xml:space="preserve">at a 3.7× smaller head. PH lowers accuracy on every suite.</w:t>
      </w:r>
    </w:p>
    <w:p>
      <w:pPr>
        <w:pStyle w:val="CaptionedFigure"/>
      </w:pPr>
      <w:r>
        <w:drawing>
          <wp:inline>
            <wp:extent cx="5120640" cy="2477491"/>
            <wp:effectExtent b="0" l="0" r="0" t="0"/>
            <wp:docPr descr="In-distribution success per suite on ACT, with 3-seed error bars." title="" id="1" name="Picture"/>
            <a:graphic>
              <a:graphicData uri="http://schemas.openxmlformats.org/drawingml/2006/picture">
                <pic:pic>
                  <pic:nvPicPr>
                    <pic:cNvPr descr="plots_embedded/act_indist.png" id="0" name="Picture"/>
                    <pic:cNvPicPr>
                      <a:picLocks noChangeArrowheads="1" noChangeAspect="1"/>
                    </pic:cNvPicPr>
                  </pic:nvPicPr>
                  <pic:blipFill>
                    <a:blip r:embed="rId60"/>
                    <a:stretch>
                      <a:fillRect/>
                    </a:stretch>
                  </pic:blipFill>
                  <pic:spPr bwMode="auto">
                    <a:xfrm>
                      <a:off x="0" y="0"/>
                      <a:ext cx="5120640" cy="2477491"/>
                    </a:xfrm>
                    <a:prstGeom prst="rect">
                      <a:avLst/>
                    </a:prstGeom>
                    <a:noFill/>
                    <a:ln w="9525">
                      <a:noFill/>
                      <a:headEnd/>
                      <a:tailEnd/>
                    </a:ln>
                  </pic:spPr>
                </pic:pic>
              </a:graphicData>
            </a:graphic>
          </wp:inline>
        </w:drawing>
      </w:r>
    </w:p>
    <w:p>
      <w:pPr>
        <w:pStyle w:val="ImageCaption"/>
      </w:pPr>
      <w:r>
        <w:t xml:space="preserve">In-distribution success per suite on ACT, with 3-seed error bars.</w:t>
      </w:r>
    </w:p>
    <w:p>
      <w:pPr>
        <w:pStyle w:val="CaptionedFigure"/>
      </w:pPr>
      <w:r>
        <w:drawing>
          <wp:inline>
            <wp:extent cx="5334000" cy="3702964"/>
            <wp:effectExtent b="0" l="0" r="0" t="0"/>
            <wp:docPr descr="Per-task in-distribution success, all four suites (ACT)." title="" id="1" name="Picture"/>
            <a:graphic>
              <a:graphicData uri="http://schemas.openxmlformats.org/drawingml/2006/picture">
                <pic:pic>
                  <pic:nvPicPr>
                    <pic:cNvPr descr="plots_embedded/act_per_task.png" id="0" name="Picture"/>
                    <pic:cNvPicPr>
                      <a:picLocks noChangeArrowheads="1" noChangeAspect="1"/>
                    </pic:cNvPicPr>
                  </pic:nvPicPr>
                  <pic:blipFill>
                    <a:blip r:embed="rId61"/>
                    <a:stretch>
                      <a:fillRect/>
                    </a:stretch>
                  </pic:blipFill>
                  <pic:spPr bwMode="auto">
                    <a:xfrm>
                      <a:off x="0" y="0"/>
                      <a:ext cx="5334000" cy="3702964"/>
                    </a:xfrm>
                    <a:prstGeom prst="rect">
                      <a:avLst/>
                    </a:prstGeom>
                    <a:noFill/>
                    <a:ln w="9525">
                      <a:noFill/>
                      <a:headEnd/>
                      <a:tailEnd/>
                    </a:ln>
                  </pic:spPr>
                </pic:pic>
              </a:graphicData>
            </a:graphic>
          </wp:inline>
        </w:drawing>
      </w:r>
    </w:p>
    <w:p>
      <w:pPr>
        <w:pStyle w:val="ImageCaption"/>
      </w:pPr>
      <w:r>
        <w:t xml:space="preserve">Per-task in-distribution success, all four suites (ACT).</w:t>
      </w:r>
    </w:p>
    <w:bookmarkEnd w:id="62"/>
    <w:bookmarkStart w:id="64" w:name="robustness-libero-plus"/>
    <w:p>
      <w:pPr>
        <w:pStyle w:val="Heading3"/>
      </w:pPr>
      <w:r>
        <w:t xml:space="preserve">6.3.2 Robustness — LIBERO-Plus (%)</w:t>
      </w:r>
    </w:p>
    <w:tbl>
      <w:tblPr>
        <w:tblStyle w:val="Table"/>
        <w:tblW w:type="dxa" w:w="9360"/>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tblPr>
      <w:tblGrid>
        <w:gridCol w:w="2340"/>
        <w:gridCol w:w="2340"/>
        <w:gridCol w:w="2340"/>
        <w:gridCol w:w="2340"/>
      </w:tblGrid>
      <w:tr>
        <w:tc>
          <w:tcPr>
            <w:tcW w:type="dxa" w:w="2340"/>
          </w:tcPr>
          <w:p>
            <w:pPr>
              <w:pStyle w:val="Compact"/>
              <w:jc w:val="left"/>
            </w:pPr>
            <w:r>
              <w:t xml:space="preserve">Suite</w:t>
            </w:r>
          </w:p>
        </w:tc>
        <w:tc>
          <w:tcPr>
            <w:tcW w:type="dxa" w:w="2340"/>
          </w:tcPr>
          <w:p>
            <w:pPr>
              <w:pStyle w:val="Compact"/>
              <w:jc w:val="left"/>
            </w:pPr>
            <w:r>
              <w:t xml:space="preserve">ACT (baseline)</w:t>
            </w:r>
          </w:p>
        </w:tc>
        <w:tc>
          <w:tcPr>
            <w:tcW w:type="dxa" w:w="2340"/>
          </w:tcPr>
          <w:p>
            <w:pPr>
              <w:pStyle w:val="Compact"/>
              <w:jc w:val="left"/>
            </w:pPr>
            <w:r>
              <w:t xml:space="preserve">ACT + DeepONet</w:t>
            </w:r>
          </w:p>
        </w:tc>
        <w:tc>
          <w:tcPr>
            <w:tcW w:type="dxa" w:w="2340"/>
          </w:tcPr>
          <w:p>
            <w:pPr>
              <w:pStyle w:val="Compact"/>
              <w:jc w:val="left"/>
            </w:pPr>
            <w:r>
              <w:t xml:space="preserve">ACT + DeepONet + PH</w:t>
            </w:r>
          </w:p>
        </w:tc>
      </w:tr>
      <w:tr>
        <w:tc>
          <w:tcPr>
            <w:tcW w:type="dxa" w:w="2340"/>
          </w:tcPr>
          <w:p>
            <w:pPr>
              <w:pStyle w:val="Compact"/>
              <w:jc w:val="left"/>
            </w:pPr>
            <w:r>
              <w:t xml:space="preserve">LIBERO-Spatial</w:t>
            </w:r>
          </w:p>
        </w:tc>
        <w:tc>
          <w:tcPr>
            <w:tcW w:type="dxa" w:w="2340"/>
          </w:tcPr>
          <w:p>
            <w:pPr>
              <w:pStyle w:val="Compact"/>
              <w:jc w:val="left"/>
            </w:pPr>
            <w:r>
              <w:t xml:space="preserve">61.9</w:t>
            </w:r>
          </w:p>
        </w:tc>
        <w:tc>
          <w:tcPr>
            <w:tcW w:type="dxa" w:w="2340"/>
          </w:tcPr>
          <w:p>
            <w:pPr>
              <w:pStyle w:val="Compact"/>
              <w:jc w:val="left"/>
            </w:pPr>
            <w:r>
              <w:t xml:space="preserve">65.5</w:t>
            </w:r>
          </w:p>
        </w:tc>
        <w:tc>
          <w:tcPr>
            <w:tcW w:type="dxa" w:w="2340"/>
          </w:tcPr>
          <w:p>
            <w:pPr>
              <w:pStyle w:val="Compact"/>
              <w:jc w:val="left"/>
            </w:pPr>
            <w:r>
              <w:t xml:space="preserve">57.1</w:t>
            </w:r>
          </w:p>
        </w:tc>
      </w:tr>
      <w:tr>
        <w:tc>
          <w:tcPr>
            <w:tcW w:type="dxa" w:w="2340"/>
          </w:tcPr>
          <w:p>
            <w:pPr>
              <w:pStyle w:val="Compact"/>
              <w:jc w:val="left"/>
            </w:pPr>
            <w:r>
              <w:t xml:space="preserve">LIBERO-Object</w:t>
            </w:r>
          </w:p>
        </w:tc>
        <w:tc>
          <w:tcPr>
            <w:tcW w:type="dxa" w:w="2340"/>
          </w:tcPr>
          <w:p>
            <w:pPr>
              <w:pStyle w:val="Compact"/>
              <w:jc w:val="left"/>
            </w:pPr>
            <w:r>
              <w:t xml:space="preserve">46.4</w:t>
            </w:r>
          </w:p>
        </w:tc>
        <w:tc>
          <w:tcPr>
            <w:tcW w:type="dxa" w:w="2340"/>
          </w:tcPr>
          <w:p>
            <w:pPr>
              <w:pStyle w:val="Compact"/>
              <w:jc w:val="left"/>
            </w:pPr>
            <w:r>
              <w:t xml:space="preserve">53.6</w:t>
            </w:r>
          </w:p>
        </w:tc>
        <w:tc>
          <w:tcPr>
            <w:tcW w:type="dxa" w:w="2340"/>
          </w:tcPr>
          <w:p>
            <w:pPr>
              <w:pStyle w:val="Compact"/>
              <w:jc w:val="left"/>
            </w:pPr>
            <w:r>
              <w:t xml:space="preserve">47.6</w:t>
            </w:r>
          </w:p>
        </w:tc>
      </w:tr>
      <w:tr>
        <w:tc>
          <w:tcPr>
            <w:tcW w:type="dxa" w:w="2340"/>
          </w:tcPr>
          <w:p>
            <w:pPr>
              <w:pStyle w:val="Compact"/>
              <w:jc w:val="left"/>
            </w:pPr>
            <w:r>
              <w:t xml:space="preserve">LIBERO-Long</w:t>
            </w:r>
          </w:p>
        </w:tc>
        <w:tc>
          <w:tcPr>
            <w:tcW w:type="dxa" w:w="2340"/>
          </w:tcPr>
          <w:p>
            <w:pPr>
              <w:pStyle w:val="Compact"/>
              <w:jc w:val="left"/>
            </w:pPr>
            <w:r>
              <w:t xml:space="preserve">22.6</w:t>
            </w:r>
          </w:p>
        </w:tc>
        <w:tc>
          <w:tcPr>
            <w:tcW w:type="dxa" w:w="2340"/>
          </w:tcPr>
          <w:p>
            <w:pPr>
              <w:pStyle w:val="Compact"/>
              <w:jc w:val="left"/>
            </w:pPr>
            <w:r>
              <w:t xml:space="preserve">20.2</w:t>
            </w:r>
          </w:p>
        </w:tc>
        <w:tc>
          <w:tcPr>
            <w:tcW w:type="dxa" w:w="2340"/>
          </w:tcPr>
          <w:p>
            <w:pPr>
              <w:pStyle w:val="Compact"/>
              <w:jc w:val="left"/>
            </w:pPr>
            <w:r>
              <w:t xml:space="preserve">27.4</w:t>
            </w:r>
          </w:p>
        </w:tc>
      </w:tr>
      <w:tr>
        <w:tc>
          <w:tcPr>
            <w:tcW w:type="dxa" w:w="2340"/>
          </w:tcPr>
          <w:p>
            <w:pPr>
              <w:pStyle w:val="Compact"/>
              <w:jc w:val="left"/>
            </w:pPr>
            <w:r>
              <w:t xml:space="preserve">LIBERO-Goal</w:t>
            </w:r>
          </w:p>
        </w:tc>
        <w:tc>
          <w:tcPr>
            <w:tcW w:type="dxa" w:w="2340"/>
          </w:tcPr>
          <w:p>
            <w:pPr>
              <w:pStyle w:val="Compact"/>
              <w:jc w:val="left"/>
            </w:pPr>
            <w:r>
              <w:t xml:space="preserve">54.8</w:t>
            </w:r>
          </w:p>
        </w:tc>
        <w:tc>
          <w:tcPr>
            <w:tcW w:type="dxa" w:w="2340"/>
          </w:tcPr>
          <w:p>
            <w:pPr>
              <w:pStyle w:val="Compact"/>
              <w:jc w:val="left"/>
            </w:pPr>
            <w:r>
              <w:t xml:space="preserve">59.5</w:t>
            </w:r>
          </w:p>
        </w:tc>
        <w:tc>
          <w:tcPr>
            <w:tcW w:type="dxa" w:w="2340"/>
          </w:tcPr>
          <w:p>
            <w:pPr>
              <w:pStyle w:val="Compact"/>
              <w:jc w:val="left"/>
            </w:pPr>
            <w:r>
              <w:t xml:space="preserve">51.2</w:t>
            </w:r>
          </w:p>
        </w:tc>
      </w:tr>
      <w:tr>
        <w:tc>
          <w:tcPr>
            <w:tcW w:type="dxa" w:w="2340"/>
          </w:tcPr>
          <w:p>
            <w:pPr>
              <w:pStyle w:val="Compact"/>
              <w:jc w:val="left"/>
            </w:pPr>
            <w:r>
              <w:rPr>
                <w:bCs/>
                <w:b/>
              </w:rPr>
              <w:t xml:space="preserve">Average</w:t>
            </w:r>
          </w:p>
        </w:tc>
        <w:tc>
          <w:tcPr>
            <w:tcW w:type="dxa" w:w="2340"/>
          </w:tcPr>
          <w:p>
            <w:pPr>
              <w:pStyle w:val="Compact"/>
              <w:jc w:val="left"/>
            </w:pPr>
            <w:r>
              <w:rPr>
                <w:bCs/>
                <w:b/>
              </w:rPr>
              <w:t xml:space="preserve">46.4</w:t>
            </w:r>
          </w:p>
        </w:tc>
        <w:tc>
          <w:tcPr>
            <w:tcW w:type="dxa" w:w="2340"/>
          </w:tcPr>
          <w:p>
            <w:pPr>
              <w:pStyle w:val="Compact"/>
              <w:jc w:val="left"/>
            </w:pPr>
            <w:r>
              <w:rPr>
                <w:bCs/>
                <w:b/>
              </w:rPr>
              <w:t xml:space="preserve">49.7</w:t>
            </w:r>
          </w:p>
        </w:tc>
        <w:tc>
          <w:tcPr>
            <w:tcW w:type="dxa" w:w="2340"/>
          </w:tcPr>
          <w:p>
            <w:pPr>
              <w:pStyle w:val="Compact"/>
              <w:jc w:val="left"/>
            </w:pPr>
            <w:r>
              <w:rPr>
                <w:bCs/>
                <w:b/>
              </w:rPr>
              <w:t xml:space="preserve">45.8</w:t>
            </w:r>
          </w:p>
        </w:tc>
      </w:tr>
    </w:tbl>
    <w:p>
      <w:pPr>
        <w:pStyle w:val="BodyText"/>
      </w:pPr>
      <w:r>
        <w:t xml:space="preserve">DeepONet is the most robust on average (49.7 vs 46.4), winning three of four suites. PH’s only win is</w:t>
      </w:r>
      <w:r>
        <w:t xml:space="preserve"> </w:t>
      </w:r>
      <w:r>
        <w:t xml:space="preserve">Long.</w:t>
      </w:r>
    </w:p>
    <w:p>
      <w:pPr>
        <w:pStyle w:val="CaptionedFigure"/>
      </w:pPr>
      <w:r>
        <w:drawing>
          <wp:inline>
            <wp:extent cx="5120640" cy="2500864"/>
            <wp:effectExtent b="0" l="0" r="0" t="0"/>
            <wp:docPr descr="LIBERO-Plus robustness per suite (ACT)." title="" id="1" name="Picture"/>
            <a:graphic>
              <a:graphicData uri="http://schemas.openxmlformats.org/drawingml/2006/picture">
                <pic:pic>
                  <pic:nvPicPr>
                    <pic:cNvPr descr="plots_embedded/act_plus.png" id="0" name="Picture"/>
                    <pic:cNvPicPr>
                      <a:picLocks noChangeArrowheads="1" noChangeAspect="1"/>
                    </pic:cNvPicPr>
                  </pic:nvPicPr>
                  <pic:blipFill>
                    <a:blip r:embed="rId63"/>
                    <a:stretch>
                      <a:fillRect/>
                    </a:stretch>
                  </pic:blipFill>
                  <pic:spPr bwMode="auto">
                    <a:xfrm>
                      <a:off x="0" y="0"/>
                      <a:ext cx="5120640" cy="2500864"/>
                    </a:xfrm>
                    <a:prstGeom prst="rect">
                      <a:avLst/>
                    </a:prstGeom>
                    <a:noFill/>
                    <a:ln w="9525">
                      <a:noFill/>
                      <a:headEnd/>
                      <a:tailEnd/>
                    </a:ln>
                  </pic:spPr>
                </pic:pic>
              </a:graphicData>
            </a:graphic>
          </wp:inline>
        </w:drawing>
      </w:r>
    </w:p>
    <w:p>
      <w:pPr>
        <w:pStyle w:val="ImageCaption"/>
      </w:pPr>
      <w:r>
        <w:t xml:space="preserve">LIBERO-Plus robustness per suite (ACT).</w:t>
      </w:r>
    </w:p>
    <w:bookmarkEnd w:id="64"/>
    <w:bookmarkStart w:id="68" w:name="X114a03e482f1509f63b93587eef29f72a30175d"/>
    <w:p>
      <w:pPr>
        <w:pStyle w:val="Heading3"/>
      </w:pPr>
      <w:r>
        <w:t xml:space="preserve">6.3.3 Robustness by perturbation (averaged over the four suites)</w:t>
      </w:r>
    </w:p>
    <w:tbl>
      <w:tblPr>
        <w:tblStyle w:val="Table"/>
        <w:tblW w:type="dxa" w:w="9360"/>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tblPr>
      <w:tblGrid>
        <w:gridCol w:w="2340"/>
        <w:gridCol w:w="2340"/>
        <w:gridCol w:w="2340"/>
        <w:gridCol w:w="2340"/>
      </w:tblGrid>
      <w:tr>
        <w:tc>
          <w:tcPr>
            <w:tcW w:type="dxa" w:w="2340"/>
          </w:tcPr>
          <w:p>
            <w:pPr>
              <w:pStyle w:val="Compact"/>
              <w:jc w:val="left"/>
            </w:pPr>
            <w:r>
              <w:t xml:space="preserve">Perturbation</w:t>
            </w:r>
          </w:p>
        </w:tc>
        <w:tc>
          <w:tcPr>
            <w:tcW w:type="dxa" w:w="2340"/>
          </w:tcPr>
          <w:p>
            <w:pPr>
              <w:pStyle w:val="Compact"/>
              <w:jc w:val="left"/>
            </w:pPr>
            <w:r>
              <w:t xml:space="preserve">ACT</w:t>
            </w:r>
          </w:p>
        </w:tc>
        <w:tc>
          <w:tcPr>
            <w:tcW w:type="dxa" w:w="2340"/>
          </w:tcPr>
          <w:p>
            <w:pPr>
              <w:pStyle w:val="Compact"/>
              <w:jc w:val="left"/>
            </w:pPr>
            <w:r>
              <w:t xml:space="preserve">ACT + DeepONet</w:t>
            </w:r>
          </w:p>
        </w:tc>
        <w:tc>
          <w:tcPr>
            <w:tcW w:type="dxa" w:w="2340"/>
          </w:tcPr>
          <w:p>
            <w:pPr>
              <w:pStyle w:val="Compact"/>
              <w:jc w:val="left"/>
            </w:pPr>
            <w:r>
              <w:t xml:space="preserve">ACT + DeepONet + PH</w:t>
            </w:r>
          </w:p>
        </w:tc>
      </w:tr>
      <w:tr>
        <w:tc>
          <w:tcPr>
            <w:tcW w:type="dxa" w:w="2340"/>
          </w:tcPr>
          <w:p>
            <w:pPr>
              <w:pStyle w:val="Compact"/>
              <w:jc w:val="left"/>
            </w:pPr>
            <w:r>
              <w:t xml:space="preserve">Camera Viewpoints</w:t>
            </w:r>
          </w:p>
        </w:tc>
        <w:tc>
          <w:tcPr>
            <w:tcW w:type="dxa" w:w="2340"/>
          </w:tcPr>
          <w:p>
            <w:pPr>
              <w:pStyle w:val="Compact"/>
              <w:jc w:val="left"/>
            </w:pPr>
            <w:r>
              <w:t xml:space="preserve">41.7</w:t>
            </w:r>
          </w:p>
        </w:tc>
        <w:tc>
          <w:tcPr>
            <w:tcW w:type="dxa" w:w="2340"/>
          </w:tcPr>
          <w:p>
            <w:pPr>
              <w:pStyle w:val="Compact"/>
              <w:jc w:val="left"/>
            </w:pPr>
            <w:r>
              <w:t xml:space="preserve">45.8</w:t>
            </w:r>
          </w:p>
        </w:tc>
        <w:tc>
          <w:tcPr>
            <w:tcW w:type="dxa" w:w="2340"/>
          </w:tcPr>
          <w:p>
            <w:pPr>
              <w:pStyle w:val="Compact"/>
              <w:jc w:val="left"/>
            </w:pPr>
            <w:r>
              <w:t xml:space="preserve">45.8</w:t>
            </w:r>
          </w:p>
        </w:tc>
      </w:tr>
      <w:tr>
        <w:tc>
          <w:tcPr>
            <w:tcW w:type="dxa" w:w="2340"/>
          </w:tcPr>
          <w:p>
            <w:pPr>
              <w:pStyle w:val="Compact"/>
              <w:jc w:val="left"/>
            </w:pPr>
            <w:r>
              <w:t xml:space="preserve">Light Conditions</w:t>
            </w:r>
          </w:p>
        </w:tc>
        <w:tc>
          <w:tcPr>
            <w:tcW w:type="dxa" w:w="2340"/>
          </w:tcPr>
          <w:p>
            <w:pPr>
              <w:pStyle w:val="Compact"/>
              <w:jc w:val="left"/>
            </w:pPr>
            <w:r>
              <w:t xml:space="preserve">66.7</w:t>
            </w:r>
          </w:p>
        </w:tc>
        <w:tc>
          <w:tcPr>
            <w:tcW w:type="dxa" w:w="2340"/>
          </w:tcPr>
          <w:p>
            <w:pPr>
              <w:pStyle w:val="Compact"/>
              <w:jc w:val="left"/>
            </w:pPr>
            <w:r>
              <w:t xml:space="preserve">64.6</w:t>
            </w:r>
          </w:p>
        </w:tc>
        <w:tc>
          <w:tcPr>
            <w:tcW w:type="dxa" w:w="2340"/>
          </w:tcPr>
          <w:p>
            <w:pPr>
              <w:pStyle w:val="Compact"/>
              <w:jc w:val="left"/>
            </w:pPr>
            <w:r>
              <w:t xml:space="preserve">56.2</w:t>
            </w:r>
          </w:p>
        </w:tc>
      </w:tr>
      <w:tr>
        <w:tc>
          <w:tcPr>
            <w:tcW w:type="dxa" w:w="2340"/>
          </w:tcPr>
          <w:p>
            <w:pPr>
              <w:pStyle w:val="Compact"/>
              <w:jc w:val="left"/>
            </w:pPr>
            <w:r>
              <w:t xml:space="preserve">Sensor Noise</w:t>
            </w:r>
          </w:p>
        </w:tc>
        <w:tc>
          <w:tcPr>
            <w:tcW w:type="dxa" w:w="2340"/>
          </w:tcPr>
          <w:p>
            <w:pPr>
              <w:pStyle w:val="Compact"/>
              <w:jc w:val="left"/>
            </w:pPr>
            <w:r>
              <w:t xml:space="preserve">39.6</w:t>
            </w:r>
          </w:p>
        </w:tc>
        <w:tc>
          <w:tcPr>
            <w:tcW w:type="dxa" w:w="2340"/>
          </w:tcPr>
          <w:p>
            <w:pPr>
              <w:pStyle w:val="Compact"/>
              <w:jc w:val="left"/>
            </w:pPr>
            <w:r>
              <w:t xml:space="preserve">45.8</w:t>
            </w:r>
          </w:p>
        </w:tc>
        <w:tc>
          <w:tcPr>
            <w:tcW w:type="dxa" w:w="2340"/>
          </w:tcPr>
          <w:p>
            <w:pPr>
              <w:pStyle w:val="Compact"/>
              <w:jc w:val="left"/>
            </w:pPr>
            <w:r>
              <w:t xml:space="preserve">47.9</w:t>
            </w:r>
          </w:p>
        </w:tc>
      </w:tr>
      <w:tr>
        <w:tc>
          <w:tcPr>
            <w:tcW w:type="dxa" w:w="2340"/>
          </w:tcPr>
          <w:p>
            <w:pPr>
              <w:pStyle w:val="Compact"/>
              <w:jc w:val="left"/>
            </w:pPr>
            <w:r>
              <w:t xml:space="preserve">Background Textures</w:t>
            </w:r>
          </w:p>
        </w:tc>
        <w:tc>
          <w:tcPr>
            <w:tcW w:type="dxa" w:w="2340"/>
          </w:tcPr>
          <w:p>
            <w:pPr>
              <w:pStyle w:val="Compact"/>
              <w:jc w:val="left"/>
            </w:pPr>
            <w:r>
              <w:t xml:space="preserve">54.2</w:t>
            </w:r>
          </w:p>
        </w:tc>
        <w:tc>
          <w:tcPr>
            <w:tcW w:type="dxa" w:w="2340"/>
          </w:tcPr>
          <w:p>
            <w:pPr>
              <w:pStyle w:val="Compact"/>
              <w:jc w:val="left"/>
            </w:pPr>
            <w:r>
              <w:t xml:space="preserve">56.3</w:t>
            </w:r>
          </w:p>
        </w:tc>
        <w:tc>
          <w:tcPr>
            <w:tcW w:type="dxa" w:w="2340"/>
          </w:tcPr>
          <w:p>
            <w:pPr>
              <w:pStyle w:val="Compact"/>
              <w:jc w:val="left"/>
            </w:pPr>
            <w:r>
              <w:t xml:space="preserve">43.8</w:t>
            </w:r>
          </w:p>
        </w:tc>
      </w:tr>
      <w:tr>
        <w:tc>
          <w:tcPr>
            <w:tcW w:type="dxa" w:w="2340"/>
          </w:tcPr>
          <w:p>
            <w:pPr>
              <w:pStyle w:val="Compact"/>
              <w:jc w:val="left"/>
            </w:pPr>
            <w:r>
              <w:t xml:space="preserve">Objects Layout</w:t>
            </w:r>
          </w:p>
        </w:tc>
        <w:tc>
          <w:tcPr>
            <w:tcW w:type="dxa" w:w="2340"/>
          </w:tcPr>
          <w:p>
            <w:pPr>
              <w:pStyle w:val="Compact"/>
              <w:jc w:val="left"/>
            </w:pPr>
            <w:r>
              <w:t xml:space="preserve">43.8</w:t>
            </w:r>
          </w:p>
        </w:tc>
        <w:tc>
          <w:tcPr>
            <w:tcW w:type="dxa" w:w="2340"/>
          </w:tcPr>
          <w:p>
            <w:pPr>
              <w:pStyle w:val="Compact"/>
              <w:jc w:val="left"/>
            </w:pPr>
            <w:r>
              <w:t xml:space="preserve">50.0</w:t>
            </w:r>
          </w:p>
        </w:tc>
        <w:tc>
          <w:tcPr>
            <w:tcW w:type="dxa" w:w="2340"/>
          </w:tcPr>
          <w:p>
            <w:pPr>
              <w:pStyle w:val="Compact"/>
              <w:jc w:val="left"/>
            </w:pPr>
            <w:r>
              <w:t xml:space="preserve">41.7</w:t>
            </w:r>
          </w:p>
        </w:tc>
      </w:tr>
      <w:tr>
        <w:tc>
          <w:tcPr>
            <w:tcW w:type="dxa" w:w="2340"/>
          </w:tcPr>
          <w:p>
            <w:pPr>
              <w:pStyle w:val="Compact"/>
              <w:jc w:val="left"/>
            </w:pPr>
            <w:r>
              <w:t xml:space="preserve">Robot Initial States</w:t>
            </w:r>
          </w:p>
        </w:tc>
        <w:tc>
          <w:tcPr>
            <w:tcW w:type="dxa" w:w="2340"/>
          </w:tcPr>
          <w:p>
            <w:pPr>
              <w:pStyle w:val="Compact"/>
              <w:jc w:val="left"/>
            </w:pPr>
            <w:r>
              <w:t xml:space="preserve">14.6</w:t>
            </w:r>
          </w:p>
        </w:tc>
        <w:tc>
          <w:tcPr>
            <w:tcW w:type="dxa" w:w="2340"/>
          </w:tcPr>
          <w:p>
            <w:pPr>
              <w:pStyle w:val="Compact"/>
              <w:jc w:val="left"/>
            </w:pPr>
            <w:r>
              <w:t xml:space="preserve">16.7</w:t>
            </w:r>
          </w:p>
        </w:tc>
        <w:tc>
          <w:tcPr>
            <w:tcW w:type="dxa" w:w="2340"/>
          </w:tcPr>
          <w:p>
            <w:pPr>
              <w:pStyle w:val="Compact"/>
              <w:jc w:val="left"/>
            </w:pPr>
            <w:r>
              <w:t xml:space="preserve">22.9</w:t>
            </w:r>
          </w:p>
        </w:tc>
      </w:tr>
      <w:tr>
        <w:tc>
          <w:tcPr>
            <w:tcW w:type="dxa" w:w="2340"/>
          </w:tcPr>
          <w:p>
            <w:pPr>
              <w:pStyle w:val="Compact"/>
              <w:jc w:val="left"/>
            </w:pPr>
            <w:r>
              <w:t xml:space="preserve">Language Instructions</w:t>
            </w:r>
          </w:p>
        </w:tc>
        <w:tc>
          <w:tcPr>
            <w:tcW w:type="dxa" w:w="2340"/>
          </w:tcPr>
          <w:p>
            <w:pPr>
              <w:pStyle w:val="Compact"/>
              <w:jc w:val="left"/>
            </w:pPr>
            <w:r>
              <w:t xml:space="preserve">64.6</w:t>
            </w:r>
          </w:p>
        </w:tc>
        <w:tc>
          <w:tcPr>
            <w:tcW w:type="dxa" w:w="2340"/>
          </w:tcPr>
          <w:p>
            <w:pPr>
              <w:pStyle w:val="Compact"/>
              <w:jc w:val="left"/>
            </w:pPr>
            <w:r>
              <w:t xml:space="preserve">68.8</w:t>
            </w:r>
          </w:p>
        </w:tc>
        <w:tc>
          <w:tcPr>
            <w:tcW w:type="dxa" w:w="2340"/>
          </w:tcPr>
          <w:p>
            <w:pPr>
              <w:pStyle w:val="Compact"/>
              <w:jc w:val="left"/>
            </w:pPr>
            <w:r>
              <w:t xml:space="preserve">62.5</w:t>
            </w:r>
          </w:p>
        </w:tc>
      </w:tr>
    </w:tbl>
    <w:p>
      <w:pPr>
        <w:pStyle w:val="BodyText"/>
      </w:pPr>
      <w:r>
        <w:t xml:space="preserve">DeepONet wins four of seven categories.</w:t>
      </w:r>
      <w:r>
        <w:t xml:space="preserve"> </w:t>
      </w:r>
      <w:r>
        <w:t xml:space="preserve">“</w:t>
      </w:r>
      <w:r>
        <w:t xml:space="preserve">Robot Initial States</w:t>
      </w:r>
      <w:r>
        <w:t xml:space="preserve">”</w:t>
      </w:r>
      <w:r>
        <w:t xml:space="preserve"> </w:t>
      </w:r>
      <w:r>
        <w:t xml:space="preserve">is the universal weak spot for everyone</w:t>
      </w:r>
      <w:r>
        <w:t xml:space="preserve"> </w:t>
      </w:r>
      <w:r>
        <w:t xml:space="preserve">(~15-23%).</w:t>
      </w:r>
    </w:p>
    <w:p>
      <w:pPr>
        <w:pStyle w:val="CaptionedFigure"/>
      </w:pPr>
      <w:r>
        <w:drawing>
          <wp:inline>
            <wp:extent cx="5334000" cy="2594113"/>
            <wp:effectExtent b="0" l="0" r="0" t="0"/>
            <wp:docPr descr="Robustness by perturbation category, averaged over suites (ACT)." title="" id="1" name="Picture"/>
            <a:graphic>
              <a:graphicData uri="http://schemas.openxmlformats.org/drawingml/2006/picture">
                <pic:pic>
                  <pic:nvPicPr>
                    <pic:cNvPr descr="plots_embedded/act_perturbation_avg.png" id="0" name="Picture"/>
                    <pic:cNvPicPr>
                      <a:picLocks noChangeArrowheads="1" noChangeAspect="1"/>
                    </pic:cNvPicPr>
                  </pic:nvPicPr>
                  <pic:blipFill>
                    <a:blip r:embed="rId65"/>
                    <a:stretch>
                      <a:fillRect/>
                    </a:stretch>
                  </pic:blipFill>
                  <pic:spPr bwMode="auto">
                    <a:xfrm>
                      <a:off x="0" y="0"/>
                      <a:ext cx="5334000" cy="2594113"/>
                    </a:xfrm>
                    <a:prstGeom prst="rect">
                      <a:avLst/>
                    </a:prstGeom>
                    <a:noFill/>
                    <a:ln w="9525">
                      <a:noFill/>
                      <a:headEnd/>
                      <a:tailEnd/>
                    </a:ln>
                  </pic:spPr>
                </pic:pic>
              </a:graphicData>
            </a:graphic>
          </wp:inline>
        </w:drawing>
      </w:r>
    </w:p>
    <w:p>
      <w:pPr>
        <w:pStyle w:val="ImageCaption"/>
      </w:pPr>
      <w:r>
        <w:t xml:space="preserve">Robustness by perturbation category, averaged over suites (ACT).</w:t>
      </w:r>
    </w:p>
    <w:p>
      <w:pPr>
        <w:pStyle w:val="CaptionedFigure"/>
      </w:pPr>
      <w:r>
        <w:drawing>
          <wp:inline>
            <wp:extent cx="5334000" cy="1759533"/>
            <wp:effectExtent b="0" l="0" r="0" t="0"/>
            <wp:docPr descr="Suite x perturbation robustness heatmaps, one per variant (ACT)." title="" id="1" name="Picture"/>
            <a:graphic>
              <a:graphicData uri="http://schemas.openxmlformats.org/drawingml/2006/picture">
                <pic:pic>
                  <pic:nvPicPr>
                    <pic:cNvPr descr="plots_embedded/act_heatmap.png" id="0" name="Picture"/>
                    <pic:cNvPicPr>
                      <a:picLocks noChangeArrowheads="1" noChangeAspect="1"/>
                    </pic:cNvPicPr>
                  </pic:nvPicPr>
                  <pic:blipFill>
                    <a:blip r:embed="rId66"/>
                    <a:stretch>
                      <a:fillRect/>
                    </a:stretch>
                  </pic:blipFill>
                  <pic:spPr bwMode="auto">
                    <a:xfrm>
                      <a:off x="0" y="0"/>
                      <a:ext cx="5334000" cy="1759533"/>
                    </a:xfrm>
                    <a:prstGeom prst="rect">
                      <a:avLst/>
                    </a:prstGeom>
                    <a:noFill/>
                    <a:ln w="9525">
                      <a:noFill/>
                      <a:headEnd/>
                      <a:tailEnd/>
                    </a:ln>
                  </pic:spPr>
                </pic:pic>
              </a:graphicData>
            </a:graphic>
          </wp:inline>
        </w:drawing>
      </w:r>
    </w:p>
    <w:p>
      <w:pPr>
        <w:pStyle w:val="ImageCaption"/>
      </w:pPr>
      <w:r>
        <w:t xml:space="preserve">Suite x perturbation robustness heatmaps, one per variant (ACT).</w:t>
      </w:r>
    </w:p>
    <w:p>
      <w:pPr>
        <w:pStyle w:val="CaptionedFigure"/>
      </w:pPr>
      <w:r>
        <w:drawing>
          <wp:inline>
            <wp:extent cx="4389120" cy="3849533"/>
            <wp:effectExtent b="0" l="0" r="0" t="0"/>
            <wp:docPr descr="Radar view of the seven perturbation categories (ACT)." title="" id="1" name="Picture"/>
            <a:graphic>
              <a:graphicData uri="http://schemas.openxmlformats.org/drawingml/2006/picture">
                <pic:pic>
                  <pic:nvPicPr>
                    <pic:cNvPr descr="plots_embedded/act_radar.png" id="0" name="Picture"/>
                    <pic:cNvPicPr>
                      <a:picLocks noChangeArrowheads="1" noChangeAspect="1"/>
                    </pic:cNvPicPr>
                  </pic:nvPicPr>
                  <pic:blipFill>
                    <a:blip r:embed="rId67"/>
                    <a:stretch>
                      <a:fillRect/>
                    </a:stretch>
                  </pic:blipFill>
                  <pic:spPr bwMode="auto">
                    <a:xfrm>
                      <a:off x="0" y="0"/>
                      <a:ext cx="4389120" cy="3849533"/>
                    </a:xfrm>
                    <a:prstGeom prst="rect">
                      <a:avLst/>
                    </a:prstGeom>
                    <a:noFill/>
                    <a:ln w="9525">
                      <a:noFill/>
                      <a:headEnd/>
                      <a:tailEnd/>
                    </a:ln>
                  </pic:spPr>
                </pic:pic>
              </a:graphicData>
            </a:graphic>
          </wp:inline>
        </w:drawing>
      </w:r>
    </w:p>
    <w:p>
      <w:pPr>
        <w:pStyle w:val="ImageCaption"/>
      </w:pPr>
      <w:r>
        <w:t xml:space="preserve">Radar view of the seven perturbation categories (ACT).</w:t>
      </w:r>
    </w:p>
    <w:bookmarkEnd w:id="68"/>
    <w:bookmarkStart w:id="71" w:name="efficiency"/>
    <w:p>
      <w:pPr>
        <w:pStyle w:val="Heading3"/>
      </w:pPr>
      <w:r>
        <w:t xml:space="preserve">6.3.4 Efficiency</w:t>
      </w:r>
    </w:p>
    <w:tbl>
      <w:tblPr>
        <w:tblStyle w:val="Table"/>
        <w:tblW w:type="dxa" w:w="9360"/>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tblPr>
      <w:tblGrid>
        <w:gridCol w:w="1560"/>
        <w:gridCol w:w="1560"/>
        <w:gridCol w:w="1560"/>
        <w:gridCol w:w="1560"/>
        <w:gridCol w:w="1560"/>
        <w:gridCol w:w="1560"/>
      </w:tblGrid>
      <w:tr>
        <w:tc>
          <w:tcPr>
            <w:tcW w:type="dxa" w:w="1560"/>
          </w:tcPr>
          <w:p>
            <w:pPr>
              <w:pStyle w:val="Compact"/>
              <w:jc w:val="left"/>
            </w:pPr>
            <w:r>
              <w:t xml:space="preserve">Variant</w:t>
            </w:r>
          </w:p>
        </w:tc>
        <w:tc>
          <w:tcPr>
            <w:tcW w:type="dxa" w:w="1560"/>
          </w:tcPr>
          <w:p>
            <w:pPr>
              <w:pStyle w:val="Compact"/>
              <w:jc w:val="left"/>
            </w:pPr>
            <w:r>
              <w:t xml:space="preserve">Total params</w:t>
            </w:r>
          </w:p>
        </w:tc>
        <w:tc>
          <w:tcPr>
            <w:tcW w:type="dxa" w:w="1560"/>
          </w:tcPr>
          <w:p>
            <w:pPr>
              <w:pStyle w:val="Compact"/>
              <w:jc w:val="left"/>
            </w:pPr>
            <w:r>
              <w:t xml:space="preserve">Action head</w:t>
            </w:r>
          </w:p>
        </w:tc>
        <w:tc>
          <w:tcPr>
            <w:tcW w:type="dxa" w:w="1560"/>
          </w:tcPr>
          <w:p>
            <w:pPr>
              <w:pStyle w:val="Compact"/>
              <w:jc w:val="left"/>
            </w:pPr>
            <w:r>
              <w:t xml:space="preserve">Planning latency</w:t>
            </w:r>
          </w:p>
        </w:tc>
        <w:tc>
          <w:tcPr>
            <w:tcW w:type="dxa" w:w="1560"/>
          </w:tcPr>
          <w:p>
            <w:pPr>
              <w:pStyle w:val="Compact"/>
              <w:jc w:val="left"/>
            </w:pPr>
            <w:r>
              <w:t xml:space="preserve">Per step (replan 5)</w:t>
            </w:r>
          </w:p>
        </w:tc>
        <w:tc>
          <w:tcPr>
            <w:tcW w:type="dxa" w:w="1560"/>
          </w:tcPr>
          <w:p>
            <w:pPr>
              <w:pStyle w:val="Compact"/>
              <w:jc w:val="left"/>
            </w:pPr>
            <w:r>
              <w:t xml:space="preserve">Control freq</w:t>
            </w:r>
          </w:p>
        </w:tc>
      </w:tr>
      <w:tr>
        <w:tc>
          <w:tcPr>
            <w:tcW w:type="dxa" w:w="1560"/>
          </w:tcPr>
          <w:p>
            <w:pPr>
              <w:pStyle w:val="Compact"/>
              <w:jc w:val="left"/>
            </w:pPr>
            <w:r>
              <w:t xml:space="preserve">ACT (baseline)</w:t>
            </w:r>
          </w:p>
        </w:tc>
        <w:tc>
          <w:tcPr>
            <w:tcW w:type="dxa" w:w="1560"/>
          </w:tcPr>
          <w:p>
            <w:pPr>
              <w:pStyle w:val="Compact"/>
              <w:jc w:val="left"/>
            </w:pPr>
            <w:r>
              <w:t xml:space="preserve">88.3M</w:t>
            </w:r>
          </w:p>
        </w:tc>
        <w:tc>
          <w:tcPr>
            <w:tcW w:type="dxa" w:w="1560"/>
          </w:tcPr>
          <w:p>
            <w:pPr>
              <w:pStyle w:val="Compact"/>
              <w:jc w:val="left"/>
            </w:pPr>
            <w:r>
              <w:t xml:space="preserve">37.8M</w:t>
            </w:r>
          </w:p>
        </w:tc>
        <w:tc>
          <w:tcPr>
            <w:tcW w:type="dxa" w:w="1560"/>
          </w:tcPr>
          <w:p>
            <w:pPr>
              <w:pStyle w:val="Compact"/>
              <w:jc w:val="left"/>
            </w:pPr>
            <w:r>
              <w:t xml:space="preserve">16.0 ms</w:t>
            </w:r>
          </w:p>
        </w:tc>
        <w:tc>
          <w:tcPr>
            <w:tcW w:type="dxa" w:w="1560"/>
          </w:tcPr>
          <w:p>
            <w:pPr>
              <w:pStyle w:val="Compact"/>
              <w:jc w:val="left"/>
            </w:pPr>
            <w:r>
              <w:t xml:space="preserve">3.90 ms</w:t>
            </w:r>
          </w:p>
        </w:tc>
        <w:tc>
          <w:tcPr>
            <w:tcW w:type="dxa" w:w="1560"/>
          </w:tcPr>
          <w:p>
            <w:pPr>
              <w:pStyle w:val="Compact"/>
              <w:jc w:val="left"/>
            </w:pPr>
            <w:r>
              <w:t xml:space="preserve">~257 Hz</w:t>
            </w:r>
          </w:p>
        </w:tc>
      </w:tr>
      <w:tr>
        <w:tc>
          <w:tcPr>
            <w:tcW w:type="dxa" w:w="1560"/>
          </w:tcPr>
          <w:p>
            <w:pPr>
              <w:pStyle w:val="Compact"/>
              <w:jc w:val="left"/>
            </w:pPr>
            <w:r>
              <w:t xml:space="preserve">ACT + DeepONet</w:t>
            </w:r>
          </w:p>
        </w:tc>
        <w:tc>
          <w:tcPr>
            <w:tcW w:type="dxa" w:w="1560"/>
          </w:tcPr>
          <w:p>
            <w:pPr>
              <w:pStyle w:val="Compact"/>
              <w:jc w:val="left"/>
            </w:pPr>
            <w:r>
              <w:t xml:space="preserve">60.7M</w:t>
            </w:r>
          </w:p>
        </w:tc>
        <w:tc>
          <w:tcPr>
            <w:tcW w:type="dxa" w:w="1560"/>
          </w:tcPr>
          <w:p>
            <w:pPr>
              <w:pStyle w:val="Compact"/>
              <w:jc w:val="left"/>
            </w:pPr>
            <w:r>
              <w:t xml:space="preserve">10.2M</w:t>
            </w:r>
          </w:p>
        </w:tc>
        <w:tc>
          <w:tcPr>
            <w:tcW w:type="dxa" w:w="1560"/>
          </w:tcPr>
          <w:p>
            <w:pPr>
              <w:pStyle w:val="Compact"/>
              <w:jc w:val="left"/>
            </w:pPr>
            <w:r>
              <w:t xml:space="preserve">13.4 ms</w:t>
            </w:r>
          </w:p>
        </w:tc>
        <w:tc>
          <w:tcPr>
            <w:tcW w:type="dxa" w:w="1560"/>
          </w:tcPr>
          <w:p>
            <w:pPr>
              <w:pStyle w:val="Compact"/>
              <w:jc w:val="left"/>
            </w:pPr>
            <w:r>
              <w:t xml:space="preserve">3.23 ms</w:t>
            </w:r>
          </w:p>
        </w:tc>
        <w:tc>
          <w:tcPr>
            <w:tcW w:type="dxa" w:w="1560"/>
          </w:tcPr>
          <w:p>
            <w:pPr>
              <w:pStyle w:val="Compact"/>
              <w:jc w:val="left"/>
            </w:pPr>
            <w:r>
              <w:t xml:space="preserve">~310 Hz</w:t>
            </w:r>
          </w:p>
        </w:tc>
      </w:tr>
      <w:tr>
        <w:tc>
          <w:tcPr>
            <w:tcW w:type="dxa" w:w="1560"/>
          </w:tcPr>
          <w:p>
            <w:pPr>
              <w:pStyle w:val="Compact"/>
              <w:jc w:val="left"/>
            </w:pPr>
            <w:r>
              <w:t xml:space="preserve">ACT + DeepONet + PH</w:t>
            </w:r>
          </w:p>
        </w:tc>
        <w:tc>
          <w:tcPr>
            <w:tcW w:type="dxa" w:w="1560"/>
          </w:tcPr>
          <w:p>
            <w:pPr>
              <w:pStyle w:val="Compact"/>
              <w:jc w:val="left"/>
            </w:pPr>
            <w:r>
              <w:t xml:space="preserve">60.7M</w:t>
            </w:r>
          </w:p>
        </w:tc>
        <w:tc>
          <w:tcPr>
            <w:tcW w:type="dxa" w:w="1560"/>
          </w:tcPr>
          <w:p>
            <w:pPr>
              <w:pStyle w:val="Compact"/>
              <w:jc w:val="left"/>
            </w:pPr>
            <w:r>
              <w:t xml:space="preserve">10.2M</w:t>
            </w:r>
          </w:p>
        </w:tc>
        <w:tc>
          <w:tcPr>
            <w:tcW w:type="dxa" w:w="1560"/>
          </w:tcPr>
          <w:p>
            <w:pPr>
              <w:pStyle w:val="Compact"/>
              <w:jc w:val="left"/>
            </w:pPr>
            <w:r>
              <w:t xml:space="preserve">13.0 ms</w:t>
            </w:r>
          </w:p>
        </w:tc>
        <w:tc>
          <w:tcPr>
            <w:tcW w:type="dxa" w:w="1560"/>
          </w:tcPr>
          <w:p>
            <w:pPr>
              <w:pStyle w:val="Compact"/>
              <w:jc w:val="left"/>
            </w:pPr>
            <w:r>
              <w:t xml:space="preserve">3.35 ms</w:t>
            </w:r>
          </w:p>
        </w:tc>
        <w:tc>
          <w:tcPr>
            <w:tcW w:type="dxa" w:w="1560"/>
          </w:tcPr>
          <w:p>
            <w:pPr>
              <w:pStyle w:val="Compact"/>
              <w:jc w:val="left"/>
            </w:pPr>
            <w:r>
              <w:t xml:space="preserve">~298 Hz</w:t>
            </w:r>
          </w:p>
        </w:tc>
      </w:tr>
    </w:tbl>
    <w:p>
      <w:pPr>
        <w:pStyle w:val="CaptionedFigure"/>
      </w:pPr>
      <w:r>
        <w:drawing>
          <wp:inline>
            <wp:extent cx="5120640" cy="2374194"/>
            <wp:effectExtent b="0" l="0" r="0" t="0"/>
            <wp:docPr descr="Efficiency: accuracy vs latency and vs parameter count (ACT)." title="" id="1" name="Picture"/>
            <a:graphic>
              <a:graphicData uri="http://schemas.openxmlformats.org/drawingml/2006/picture">
                <pic:pic>
                  <pic:nvPicPr>
                    <pic:cNvPr descr="plots_embedded/act_efficiency.png" id="0" name="Picture"/>
                    <pic:cNvPicPr>
                      <a:picLocks noChangeArrowheads="1" noChangeAspect="1"/>
                    </pic:cNvPicPr>
                  </pic:nvPicPr>
                  <pic:blipFill>
                    <a:blip r:embed="rId69"/>
                    <a:stretch>
                      <a:fillRect/>
                    </a:stretch>
                  </pic:blipFill>
                  <pic:spPr bwMode="auto">
                    <a:xfrm>
                      <a:off x="0" y="0"/>
                      <a:ext cx="5120640" cy="2374194"/>
                    </a:xfrm>
                    <a:prstGeom prst="rect">
                      <a:avLst/>
                    </a:prstGeom>
                    <a:noFill/>
                    <a:ln w="9525">
                      <a:noFill/>
                      <a:headEnd/>
                      <a:tailEnd/>
                    </a:ln>
                  </pic:spPr>
                </pic:pic>
              </a:graphicData>
            </a:graphic>
          </wp:inline>
        </w:drawing>
      </w:r>
    </w:p>
    <w:p>
      <w:pPr>
        <w:pStyle w:val="ImageCaption"/>
      </w:pPr>
      <w:r>
        <w:t xml:space="preserve">Efficiency: accuracy vs latency and vs parameter count (ACT).</w:t>
      </w:r>
    </w:p>
    <w:p>
      <w:pPr>
        <w:pStyle w:val="CaptionedFigure"/>
      </w:pPr>
      <w:r>
        <w:drawing>
          <wp:inline>
            <wp:extent cx="5334000" cy="4102628"/>
            <wp:effectExtent b="0" l="0" r="0" t="0"/>
            <wp:docPr descr="Master summary: parameters, latency, in-distribution and robustness at a glance (ACT)." title="" id="1" name="Picture"/>
            <a:graphic>
              <a:graphicData uri="http://schemas.openxmlformats.org/drawingml/2006/picture">
                <pic:pic>
                  <pic:nvPicPr>
                    <pic:cNvPr descr="plots_embedded/act_master.png" id="0" name="Picture"/>
                    <pic:cNvPicPr>
                      <a:picLocks noChangeArrowheads="1" noChangeAspect="1"/>
                    </pic:cNvPicPr>
                  </pic:nvPicPr>
                  <pic:blipFill>
                    <a:blip r:embed="rId70"/>
                    <a:stretch>
                      <a:fillRect/>
                    </a:stretch>
                  </pic:blipFill>
                  <pic:spPr bwMode="auto">
                    <a:xfrm>
                      <a:off x="0" y="0"/>
                      <a:ext cx="5334000" cy="4102628"/>
                    </a:xfrm>
                    <a:prstGeom prst="rect">
                      <a:avLst/>
                    </a:prstGeom>
                    <a:noFill/>
                    <a:ln w="9525">
                      <a:noFill/>
                      <a:headEnd/>
                      <a:tailEnd/>
                    </a:ln>
                  </pic:spPr>
                </pic:pic>
              </a:graphicData>
            </a:graphic>
          </wp:inline>
        </w:drawing>
      </w:r>
    </w:p>
    <w:p>
      <w:pPr>
        <w:pStyle w:val="ImageCaption"/>
      </w:pPr>
      <w:r>
        <w:t xml:space="preserve">Master summary: parameters, latency, in-distribution and robustness at a glance (ACT).</w:t>
      </w:r>
    </w:p>
    <w:p>
      <w:pPr>
        <w:pStyle w:val="BodyText"/>
      </w:pPr>
      <w:r>
        <w:t xml:space="preserve">On ACT the operator head genuinely wins on every average axis: higher in-distribution, higher robustness,</w:t>
      </w:r>
      <w:r>
        <w:t xml:space="preserve"> </w:t>
      </w:r>
      <w:r>
        <w:t xml:space="preserve">a 3.7× smaller head, and about 16% lower latency. This is the cleaner, more complete confirmation that we</w:t>
      </w:r>
      <w:r>
        <w:t xml:space="preserve"> </w:t>
      </w:r>
      <w:r>
        <w:t xml:space="preserve">moved to ACT to get.</w:t>
      </w:r>
    </w:p>
    <w:bookmarkEnd w:id="71"/>
    <w:bookmarkEnd w:id="72"/>
    <w:bookmarkEnd w:id="73"/>
    <w:bookmarkStart w:id="76" w:name="Xbfe992dcfd163ea61bbf1bf7a3eda249a55e217"/>
    <w:p>
      <w:pPr>
        <w:pStyle w:val="Heading1"/>
      </w:pPr>
      <w:r>
        <w:t xml:space="preserve">7. For completeness — pi0.5 and GR00T N1.6 (in progress)</w:t>
      </w:r>
    </w:p>
    <w:p>
      <w:pPr>
        <w:pStyle w:val="FirstParagraph"/>
      </w:pPr>
      <w:r>
        <w:t xml:space="preserve">To be thorough, we also ported the same operator head to two of the strongest available models. This is</w:t>
      </w:r>
      <w:r>
        <w:t xml:space="preserve"> </w:t>
      </w:r>
      <w:r>
        <w:t xml:space="preserve">purely a state-of-the-art comparison, so we keep it short.</w:t>
      </w:r>
      <w:r>
        <w:t xml:space="preserve"> </w:t>
      </w:r>
      <w:r>
        <w:rPr>
          <w:bCs/>
          <w:b/>
        </w:rPr>
        <w:t xml:space="preserve">pi0.5</w:t>
      </w:r>
      <w:r>
        <w:t xml:space="preserve"> </w:t>
      </w:r>
      <w:r>
        <w:t xml:space="preserve">(~3.3B, PaliGemma backbone, native</w:t>
      </w:r>
      <w:r>
        <w:t xml:space="preserve"> </w:t>
      </w:r>
      <w:r>
        <w:t xml:space="preserve">flow-matching head; Figure 9) and</w:t>
      </w:r>
      <w:r>
        <w:t xml:space="preserve"> </w:t>
      </w:r>
      <w:r>
        <w:rPr>
          <w:bCs/>
          <w:b/>
        </w:rPr>
        <w:t xml:space="preserve">GR00T N1.6</w:t>
      </w:r>
      <w:r>
        <w:t xml:space="preserve"> </w:t>
      </w:r>
      <w:r>
        <w:t xml:space="preserve">(~3B, Eagle backbone, native 32-layer diffusion head;</w:t>
      </w:r>
      <w:r>
        <w:t xml:space="preserve"> </w:t>
      </w:r>
      <w:r>
        <w:t xml:space="preserve">Figure 10). In both, the backbone is frozen and we compare the native head against DeepONet and</w:t>
      </w:r>
      <w:r>
        <w:t xml:space="preserve"> </w:t>
      </w:r>
      <w:r>
        <w:t xml:space="preserve">DeepONet + PH; in GR00T the head swap is controlled by an environment switch so the baseline is exactly</w:t>
      </w:r>
      <w:r>
        <w:t xml:space="preserve"> </w:t>
      </w:r>
      <w:r>
        <w:t xml:space="preserve">the stock model. One practical note: GR00T’s own evaluation uses</w:t>
      </w:r>
      <w:r>
        <w:t xml:space="preserve"> </w:t>
      </w:r>
      <w:r>
        <w:rPr>
          <w:bCs/>
          <w:b/>
        </w:rPr>
        <w:t xml:space="preserve">absolute</w:t>
      </w:r>
      <w:r>
        <w:t xml:space="preserve"> </w:t>
      </w:r>
      <w:r>
        <w:t xml:space="preserve">action commands while</w:t>
      </w:r>
      <w:r>
        <w:t xml:space="preserve"> </w:t>
      </w:r>
      <w:r>
        <w:t xml:space="preserve">SmolVLA and pi0.5 use</w:t>
      </w:r>
      <w:r>
        <w:t xml:space="preserve"> </w:t>
      </w:r>
      <w:r>
        <w:rPr>
          <w:bCs/>
          <w:b/>
        </w:rPr>
        <w:t xml:space="preserve">relative</w:t>
      </w:r>
      <w:r>
        <w:t xml:space="preserve"> </w:t>
      </w:r>
      <w:r>
        <w:t xml:space="preserve">ones, so each must be evaluated in its own convention. These runs are</w:t>
      </w:r>
      <w:r>
        <w:t xml:space="preserve"> </w:t>
      </w:r>
      <w:r>
        <w:t xml:space="preserve">still going, so the tables below are intentionally blank.</w:t>
      </w:r>
    </w:p>
    <w:p>
      <w:pPr>
        <w:pStyle w:val="CaptionedFigure"/>
      </w:pPr>
      <w:r>
        <w:drawing>
          <wp:inline>
            <wp:extent cx="5334000" cy="2273916"/>
            <wp:effectExtent b="0" l="0" r="0" t="0"/>
            <wp:docPr descr="Figure 9. pi0.5 with the DeepONet action head. Inner boundary = the head we swap; outer boundary = the whole model; PH loss is training-only." title="" id="1" name="Picture"/>
            <a:graphic>
              <a:graphicData uri="http://schemas.openxmlformats.org/drawingml/2006/picture">
                <pic:pic>
                  <pic:nvPicPr>
                    <pic:cNvPr descr="diagrams_emf/fig09_pi05.emf" id="0" name="Picture"/>
                    <pic:cNvPicPr>
                      <a:picLocks noChangeArrowheads="1" noChangeAspect="1"/>
                    </pic:cNvPicPr>
                  </pic:nvPicPr>
                  <pic:blipFill>
                    <a:blip r:embed="rId74"/>
                    <a:stretch>
                      <a:fillRect/>
                    </a:stretch>
                  </pic:blipFill>
                  <pic:spPr bwMode="auto">
                    <a:xfrm>
                      <a:off x="0" y="0"/>
                      <a:ext cx="5334000" cy="2273916"/>
                    </a:xfrm>
                    <a:prstGeom prst="rect">
                      <a:avLst/>
                    </a:prstGeom>
                    <a:noFill/>
                    <a:ln w="9525">
                      <a:noFill/>
                      <a:headEnd/>
                      <a:tailEnd/>
                    </a:ln>
                  </pic:spPr>
                </pic:pic>
              </a:graphicData>
            </a:graphic>
          </wp:inline>
        </w:drawing>
      </w:r>
    </w:p>
    <w:p>
      <w:pPr>
        <w:pStyle w:val="ImageCaption"/>
      </w:pPr>
      <w:r>
        <w:t xml:space="preserve">Figure 9. pi0.5 with the DeepONet action head. Inner boundary = the head we swap; outer boundary = the whole model; PH loss is training-only.</w:t>
      </w:r>
    </w:p>
    <w:p>
      <w:pPr>
        <w:pStyle w:val="CaptionedFigure"/>
      </w:pPr>
      <w:r>
        <w:drawing>
          <wp:inline>
            <wp:extent cx="5334000" cy="2273916"/>
            <wp:effectExtent b="0" l="0" r="0" t="0"/>
            <wp:docPr descr="Figure 10. GR00T N1.6 with the DeepONet action head. Inner boundary = the head we swap; outer boundary = the whole model; PH loss is training-only." title="" id="1" name="Picture"/>
            <a:graphic>
              <a:graphicData uri="http://schemas.openxmlformats.org/drawingml/2006/picture">
                <pic:pic>
                  <pic:nvPicPr>
                    <pic:cNvPr descr="diagrams_emf/fig10_groot.emf" id="0" name="Picture"/>
                    <pic:cNvPicPr>
                      <a:picLocks noChangeArrowheads="1" noChangeAspect="1"/>
                    </pic:cNvPicPr>
                  </pic:nvPicPr>
                  <pic:blipFill>
                    <a:blip r:embed="rId75"/>
                    <a:stretch>
                      <a:fillRect/>
                    </a:stretch>
                  </pic:blipFill>
                  <pic:spPr bwMode="auto">
                    <a:xfrm>
                      <a:off x="0" y="0"/>
                      <a:ext cx="5334000" cy="2273916"/>
                    </a:xfrm>
                    <a:prstGeom prst="rect">
                      <a:avLst/>
                    </a:prstGeom>
                    <a:noFill/>
                    <a:ln w="9525">
                      <a:noFill/>
                      <a:headEnd/>
                      <a:tailEnd/>
                    </a:ln>
                  </pic:spPr>
                </pic:pic>
              </a:graphicData>
            </a:graphic>
          </wp:inline>
        </w:drawing>
      </w:r>
    </w:p>
    <w:p>
      <w:pPr>
        <w:pStyle w:val="ImageCaption"/>
      </w:pPr>
      <w:r>
        <w:t xml:space="preserve">Figure 10. GR00T N1.6 with the DeepONet action head. Inner boundary = the head we swap; outer boundary = the whole model; PH loss is training-only.</w:t>
      </w:r>
    </w:p>
    <w:p>
      <w:pPr>
        <w:pStyle w:val="BodyText"/>
      </w:pPr>
      <w:r>
        <w:rPr>
          <w:bCs/>
          <w:b/>
        </w:rPr>
        <w:t xml:space="preserve">pi0.5 (frozen backbone).</w:t>
      </w:r>
    </w:p>
    <w:tbl>
      <w:tblPr>
        <w:tblStyle w:val="Table"/>
        <w:tblW w:type="dxa" w:w="9360"/>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tblPr>
      <w:tblGrid>
        <w:gridCol w:w="1560"/>
        <w:gridCol w:w="1560"/>
        <w:gridCol w:w="1560"/>
        <w:gridCol w:w="1560"/>
        <w:gridCol w:w="1560"/>
        <w:gridCol w:w="1560"/>
      </w:tblGrid>
      <w:tr>
        <w:tc>
          <w:tcPr>
            <w:tcW w:type="dxa" w:w="1560"/>
          </w:tcPr>
          <w:p>
            <w:pPr>
              <w:pStyle w:val="Compact"/>
              <w:jc w:val="left"/>
            </w:pPr>
            <w:r>
              <w:t xml:space="preserve">Head</w:t>
            </w:r>
          </w:p>
        </w:tc>
        <w:tc>
          <w:tcPr>
            <w:tcW w:type="dxa" w:w="1560"/>
          </w:tcPr>
          <w:p>
            <w:pPr>
              <w:pStyle w:val="Compact"/>
              <w:jc w:val="left"/>
            </w:pPr>
            <w:r>
              <w:t xml:space="preserve">Spatial</w:t>
            </w:r>
          </w:p>
        </w:tc>
        <w:tc>
          <w:tcPr>
            <w:tcW w:type="dxa" w:w="1560"/>
          </w:tcPr>
          <w:p>
            <w:pPr>
              <w:pStyle w:val="Compact"/>
              <w:jc w:val="left"/>
            </w:pPr>
            <w:r>
              <w:t xml:space="preserve">Object</w:t>
            </w:r>
          </w:p>
        </w:tc>
        <w:tc>
          <w:tcPr>
            <w:tcW w:type="dxa" w:w="1560"/>
          </w:tcPr>
          <w:p>
            <w:pPr>
              <w:pStyle w:val="Compact"/>
              <w:jc w:val="left"/>
            </w:pPr>
            <w:r>
              <w:t xml:space="preserve">Goal</w:t>
            </w:r>
          </w:p>
        </w:tc>
        <w:tc>
          <w:tcPr>
            <w:tcW w:type="dxa" w:w="1560"/>
          </w:tcPr>
          <w:p>
            <w:pPr>
              <w:pStyle w:val="Compact"/>
              <w:jc w:val="left"/>
            </w:pPr>
            <w:r>
              <w:t xml:space="preserve">Long</w:t>
            </w:r>
          </w:p>
        </w:tc>
        <w:tc>
          <w:tcPr>
            <w:tcW w:type="dxa" w:w="1560"/>
          </w:tcPr>
          <w:p>
            <w:pPr>
              <w:pStyle w:val="Compact"/>
              <w:jc w:val="left"/>
            </w:pPr>
            <w:r>
              <w:t xml:space="preserve">Average</w:t>
            </w:r>
          </w:p>
        </w:tc>
      </w:tr>
      <w:tr>
        <w:tc>
          <w:tcPr>
            <w:tcW w:type="dxa" w:w="1560"/>
          </w:tcPr>
          <w:p>
            <w:pPr>
              <w:pStyle w:val="Compact"/>
              <w:jc w:val="left"/>
            </w:pPr>
            <w:r>
              <w:t xml:space="preserve">Flow (baseline) — in-dist</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pStyle w:val="Compact"/>
              <w:jc w:val="left"/>
            </w:pPr>
            <w:r>
              <w:t xml:space="preserve">DeepONet — in-dist</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pStyle w:val="Compact"/>
              <w:jc w:val="left"/>
            </w:pPr>
            <w:r>
              <w:t xml:space="preserve">DeepONet + PH — in-dist</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pStyle w:val="Compact"/>
              <w:jc w:val="left"/>
            </w:pPr>
            <w:r>
              <w:t xml:space="preserve">Flow (baseline) — robustness</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pStyle w:val="Compact"/>
              <w:jc w:val="left"/>
            </w:pPr>
            <w:r>
              <w:t xml:space="preserve">DeepONet — robustness</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pStyle w:val="Compact"/>
              <w:jc w:val="left"/>
            </w:pPr>
            <w:r>
              <w:t xml:space="preserve">DeepONet + PH — robustness</w:t>
            </w:r>
          </w:p>
        </w:tc>
        <w:tc>
          <w:tcPr>
            <w:tcW w:type="dxa" w:w="1560"/>
          </w:tcPr>
          <w:p/>
        </w:tc>
        <w:tc>
          <w:tcPr>
            <w:tcW w:type="dxa" w:w="1560"/>
          </w:tcPr>
          <w:p/>
        </w:tc>
        <w:tc>
          <w:tcPr>
            <w:tcW w:type="dxa" w:w="1560"/>
          </w:tcPr>
          <w:p/>
        </w:tc>
        <w:tc>
          <w:tcPr>
            <w:tcW w:type="dxa" w:w="1560"/>
          </w:tcPr>
          <w:p/>
        </w:tc>
        <w:tc>
          <w:tcPr>
            <w:tcW w:type="dxa" w:w="1560"/>
          </w:tcPr>
          <w:p/>
        </w:tc>
      </w:tr>
    </w:tbl>
    <w:p>
      <w:pPr>
        <w:pStyle w:val="BodyText"/>
      </w:pPr>
      <w:r>
        <w:rPr>
          <w:bCs/>
          <w:b/>
        </w:rPr>
        <w:t xml:space="preserve">GR00T N1.6 (frozen backbone).</w:t>
      </w:r>
    </w:p>
    <w:tbl>
      <w:tblPr>
        <w:tblStyle w:val="Table"/>
        <w:tblW w:type="dxa" w:w="9360"/>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tblPr>
      <w:tblGrid>
        <w:gridCol w:w="1560"/>
        <w:gridCol w:w="1560"/>
        <w:gridCol w:w="1560"/>
        <w:gridCol w:w="1560"/>
        <w:gridCol w:w="1560"/>
        <w:gridCol w:w="1560"/>
      </w:tblGrid>
      <w:tr>
        <w:tc>
          <w:tcPr>
            <w:tcW w:type="dxa" w:w="1560"/>
          </w:tcPr>
          <w:p>
            <w:pPr>
              <w:pStyle w:val="Compact"/>
              <w:jc w:val="left"/>
            </w:pPr>
            <w:r>
              <w:t xml:space="preserve">Head</w:t>
            </w:r>
          </w:p>
        </w:tc>
        <w:tc>
          <w:tcPr>
            <w:tcW w:type="dxa" w:w="1560"/>
          </w:tcPr>
          <w:p>
            <w:pPr>
              <w:pStyle w:val="Compact"/>
              <w:jc w:val="left"/>
            </w:pPr>
            <w:r>
              <w:t xml:space="preserve">Spatial</w:t>
            </w:r>
          </w:p>
        </w:tc>
        <w:tc>
          <w:tcPr>
            <w:tcW w:type="dxa" w:w="1560"/>
          </w:tcPr>
          <w:p>
            <w:pPr>
              <w:pStyle w:val="Compact"/>
              <w:jc w:val="left"/>
            </w:pPr>
            <w:r>
              <w:t xml:space="preserve">Object</w:t>
            </w:r>
          </w:p>
        </w:tc>
        <w:tc>
          <w:tcPr>
            <w:tcW w:type="dxa" w:w="1560"/>
          </w:tcPr>
          <w:p>
            <w:pPr>
              <w:pStyle w:val="Compact"/>
              <w:jc w:val="left"/>
            </w:pPr>
            <w:r>
              <w:t xml:space="preserve">Goal</w:t>
            </w:r>
          </w:p>
        </w:tc>
        <w:tc>
          <w:tcPr>
            <w:tcW w:type="dxa" w:w="1560"/>
          </w:tcPr>
          <w:p>
            <w:pPr>
              <w:pStyle w:val="Compact"/>
              <w:jc w:val="left"/>
            </w:pPr>
            <w:r>
              <w:t xml:space="preserve">Long</w:t>
            </w:r>
          </w:p>
        </w:tc>
        <w:tc>
          <w:tcPr>
            <w:tcW w:type="dxa" w:w="1560"/>
          </w:tcPr>
          <w:p>
            <w:pPr>
              <w:pStyle w:val="Compact"/>
              <w:jc w:val="left"/>
            </w:pPr>
            <w:r>
              <w:t xml:space="preserve">Average</w:t>
            </w:r>
          </w:p>
        </w:tc>
      </w:tr>
      <w:tr>
        <w:tc>
          <w:tcPr>
            <w:tcW w:type="dxa" w:w="1560"/>
          </w:tcPr>
          <w:p>
            <w:pPr>
              <w:pStyle w:val="Compact"/>
              <w:jc w:val="left"/>
            </w:pPr>
            <w:r>
              <w:t xml:space="preserve">Diffusion (baseline) — in-dist</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pStyle w:val="Compact"/>
              <w:jc w:val="left"/>
            </w:pPr>
            <w:r>
              <w:t xml:space="preserve">DeepONet — in-dist</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pStyle w:val="Compact"/>
              <w:jc w:val="left"/>
            </w:pPr>
            <w:r>
              <w:t xml:space="preserve">DeepONet + PH — in-dist</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pStyle w:val="Compact"/>
              <w:jc w:val="left"/>
            </w:pPr>
            <w:r>
              <w:t xml:space="preserve">Diffusion (baseline) — robustness</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pStyle w:val="Compact"/>
              <w:jc w:val="left"/>
            </w:pPr>
            <w:r>
              <w:t xml:space="preserve">DeepONet — robustness</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pStyle w:val="Compact"/>
              <w:jc w:val="left"/>
            </w:pPr>
            <w:r>
              <w:t xml:space="preserve">DeepONet + PH — robustness</w:t>
            </w:r>
          </w:p>
        </w:tc>
        <w:tc>
          <w:tcPr>
            <w:tcW w:type="dxa" w:w="1560"/>
          </w:tcPr>
          <w:p/>
        </w:tc>
        <w:tc>
          <w:tcPr>
            <w:tcW w:type="dxa" w:w="1560"/>
          </w:tcPr>
          <w:p/>
        </w:tc>
        <w:tc>
          <w:tcPr>
            <w:tcW w:type="dxa" w:w="1560"/>
          </w:tcPr>
          <w:p/>
        </w:tc>
        <w:tc>
          <w:tcPr>
            <w:tcW w:type="dxa" w:w="1560"/>
          </w:tcPr>
          <w:p/>
        </w:tc>
        <w:tc>
          <w:tcPr>
            <w:tcW w:type="dxa" w:w="1560"/>
          </w:tcPr>
          <w:p/>
        </w:tc>
      </w:tr>
    </w:tbl>
    <w:bookmarkEnd w:id="76"/>
    <w:bookmarkStart w:id="77" w:name="X356d77e392f4b5ce2026d08b458502fb00c4b24"/>
    <w:p>
      <w:pPr>
        <w:pStyle w:val="Heading1"/>
      </w:pPr>
      <w:r>
        <w:t xml:space="preserve">8. What we learned along the way (engineering notes)</w:t>
      </w:r>
    </w:p>
    <w:p>
      <w:pPr>
        <w:pStyle w:val="FirstParagraph"/>
      </w:pPr>
      <w:r>
        <w:rPr>
          <w:bCs/>
          <w:b/>
        </w:rPr>
        <w:t xml:space="preserve">The evaluation harness can quietly ruin your numbers.</w:t>
      </w:r>
      <w:r>
        <w:t xml:space="preserve"> </w:t>
      </w:r>
      <w:r>
        <w:t xml:space="preserve">When we first ran robustness evaluation, one</w:t>
      </w:r>
      <w:r>
        <w:t xml:space="preserve"> </w:t>
      </w:r>
      <w:r>
        <w:t xml:space="preserve">setting gave almost 0% on every perturbed task. It was not the model’s fault: the perturbed-environment</w:t>
      </w:r>
      <w:r>
        <w:t xml:space="preserve"> </w:t>
      </w:r>
      <w:r>
        <w:t xml:space="preserve">code sent our</w:t>
      </w:r>
      <w:r>
        <w:t xml:space="preserve"> </w:t>
      </w:r>
      <w:r>
        <w:rPr>
          <w:iCs/>
          <w:i/>
        </w:rPr>
        <w:t xml:space="preserve">relative</w:t>
      </w:r>
      <w:r>
        <w:t xml:space="preserve"> </w:t>
      </w:r>
      <w:r>
        <w:t xml:space="preserve">action commands into a controller expecting</w:t>
      </w:r>
      <w:r>
        <w:t xml:space="preserve"> </w:t>
      </w:r>
      <w:r>
        <w:rPr>
          <w:iCs/>
          <w:i/>
        </w:rPr>
        <w:t xml:space="preserve">absolute</w:t>
      </w:r>
      <w:r>
        <w:t xml:space="preserve"> </w:t>
      </w:r>
      <w:r>
        <w:t xml:space="preserve">targets, so the arm barely</w:t>
      </w:r>
      <w:r>
        <w:t xml:space="preserve"> </w:t>
      </w:r>
      <w:r>
        <w:t xml:space="preserve">moved. Once we set the controller to relative mode and let the physics settle for a few frames after</w:t>
      </w:r>
      <w:r>
        <w:t xml:space="preserve"> </w:t>
      </w:r>
      <w:r>
        <w:t xml:space="preserve">resetting, the numbers became sensible (this is why ACT-Object robustness went from ~0% to 53.6%).</w:t>
      </w:r>
    </w:p>
    <w:p>
      <w:pPr>
        <w:pStyle w:val="BodyText"/>
      </w:pPr>
      <w:r>
        <w:rPr>
          <w:bCs/>
          <w:b/>
        </w:rPr>
        <w:t xml:space="preserve">Different models have different conventions.</w:t>
      </w:r>
      <w:r>
        <w:t xml:space="preserve"> </w:t>
      </w:r>
      <w:r>
        <w:t xml:space="preserve">GR00T’s own evaluation uses</w:t>
      </w:r>
      <w:r>
        <w:t xml:space="preserve"> </w:t>
      </w:r>
      <w:r>
        <w:rPr>
          <w:iCs/>
          <w:i/>
        </w:rPr>
        <w:t xml:space="preserve">absolute</w:t>
      </w:r>
      <w:r>
        <w:t xml:space="preserve"> </w:t>
      </w:r>
      <w:r>
        <w:t xml:space="preserve">actions, which is</w:t>
      </w:r>
      <w:r>
        <w:t xml:space="preserve"> </w:t>
      </w:r>
      <w:r>
        <w:t xml:space="preserve">correct for it, so we deliberately did not carry the relative-action fix over to GR00T. Matching each</w:t>
      </w:r>
      <w:r>
        <w:t xml:space="preserve"> </w:t>
      </w:r>
      <w:r>
        <w:t xml:space="preserve">model to its own convention is essential.</w:t>
      </w:r>
    </w:p>
    <w:p>
      <w:pPr>
        <w:pStyle w:val="BodyText"/>
      </w:pPr>
      <w:r>
        <w:rPr>
          <w:bCs/>
          <w:b/>
        </w:rPr>
        <w:t xml:space="preserve">Two benchmark packages can clash.</w:t>
      </w:r>
      <w:r>
        <w:t xml:space="preserve"> </w:t>
      </w:r>
      <w:r>
        <w:t xml:space="preserve">Normal LIBERO and LIBERO-Plus install under the same package name;</w:t>
      </w:r>
      <w:r>
        <w:t xml:space="preserve"> </w:t>
      </w:r>
      <w:r>
        <w:t xml:space="preserve">we run the in-distribution and robustness evaluations as separate processes, each importing only its own</w:t>
      </w:r>
      <w:r>
        <w:t xml:space="preserve"> </w:t>
      </w:r>
      <w:r>
        <w:t xml:space="preserve">version.</w:t>
      </w:r>
    </w:p>
    <w:p>
      <w:pPr>
        <w:pStyle w:val="BodyText"/>
      </w:pPr>
      <w:r>
        <w:rPr>
          <w:bCs/>
          <w:b/>
        </w:rPr>
        <w:t xml:space="preserve">Be careful what a result really shows.</w:t>
      </w:r>
      <w:r>
        <w:t xml:space="preserve"> </w:t>
      </w:r>
      <w:r>
        <w:t xml:space="preserve">Our own checks made us correct some early over-claims: the</w:t>
      </w:r>
      <w:r>
        <w:t xml:space="preserve"> </w:t>
      </w:r>
      <w:r>
        <w:t xml:space="preserve">SmolVLA in-distribution difference is a tie, not a win; the operator’s real, significant benefit is</w:t>
      </w:r>
      <w:r>
        <w:t xml:space="preserve"> </w:t>
      </w:r>
      <w:r>
        <w:t xml:space="preserve">robustness; the PH loss significantly hurts robustness; and at a fixed budget the flow baseline slightly</w:t>
      </w:r>
      <w:r>
        <w:t xml:space="preserve"> </w:t>
      </w:r>
      <w:r>
        <w:t xml:space="preserve">wins the four-suite in-distribution average. We report per-seed numbers, fix the training budget, and flag</w:t>
      </w:r>
      <w:r>
        <w:t xml:space="preserve"> </w:t>
      </w:r>
      <w:r>
        <w:t xml:space="preserve">that the strong SmolVLA robustness number is single-suite (which is part of why we did the full ACT study).</w:t>
      </w:r>
    </w:p>
    <w:p>
      <w:pPr>
        <w:pStyle w:val="BodyText"/>
      </w:pPr>
      <w:r>
        <w:rPr>
          <w:bCs/>
          <w:b/>
        </w:rPr>
        <w:t xml:space="preserve">Disk space is a real constraint.</w:t>
      </w:r>
      <w:r>
        <w:t xml:space="preserve"> </w:t>
      </w:r>
      <w:r>
        <w:t xml:space="preserve">The large checkpoints are several gigabytes each; a full disk once</w:t>
      </w:r>
      <w:r>
        <w:t xml:space="preserve"> </w:t>
      </w:r>
      <w:r>
        <w:t xml:space="preserve">corrupted one mid-save. We now keep only the final checkpoint, delete each one after its evaluation is</w:t>
      </w:r>
      <w:r>
        <w:t xml:space="preserve"> </w:t>
      </w:r>
      <w:r>
        <w:t xml:space="preserve">confirmed, and keep a safety margin.</w:t>
      </w:r>
    </w:p>
    <w:bookmarkEnd w:id="77"/>
    <w:bookmarkStart w:id="78" w:name="conclusion-and-future-work"/>
    <w:p>
      <w:pPr>
        <w:pStyle w:val="Heading1"/>
      </w:pPr>
      <w:r>
        <w:t xml:space="preserve">9. Conclusion and future work</w:t>
      </w:r>
    </w:p>
    <w:p>
      <w:pPr>
        <w:pStyle w:val="FirstParagraph"/>
      </w:pPr>
      <w:r>
        <w:t xml:space="preserve">We brought two clean mathematical ideas — operator learning (DeepONet) and topology (persistent homology)</w:t>
      </w:r>
      <w:r>
        <w:t xml:space="preserve"> </w:t>
      </w:r>
      <w:r>
        <w:t xml:space="preserve">— into modern robot vision-language-action models and tested them fairly, changing only the action head.</w:t>
      </w:r>
    </w:p>
    <w:p>
      <w:pPr>
        <w:pStyle w:val="BodyText"/>
      </w:pPr>
      <w:r>
        <w:t xml:space="preserve">The operator head is the clear practical winner on efficiency: about 10M parameters and roughly 5× faster</w:t>
      </w:r>
      <w:r>
        <w:t xml:space="preserve"> </w:t>
      </w:r>
      <w:r>
        <w:t xml:space="preserve">than the heavy flow head, with a single forward pass instead of a denoising loop. On the smaller ACT model</w:t>
      </w:r>
      <w:r>
        <w:t xml:space="preserve"> </w:t>
      </w:r>
      <w:r>
        <w:t xml:space="preserve">it also wins on average in-distribution accuracy and robustness. On SmolVLA its honest story is more</w:t>
      </w:r>
      <w:r>
        <w:t xml:space="preserve"> </w:t>
      </w:r>
      <w:r>
        <w:t xml:space="preserve">specific: in-distribution accuracy is a</w:t>
      </w:r>
      <w:r>
        <w:t xml:space="preserve"> </w:t>
      </w:r>
      <w:r>
        <w:rPr>
          <w:bCs/>
          <w:b/>
        </w:rPr>
        <w:t xml:space="preserve">statistical tie</w:t>
      </w:r>
      <w:r>
        <w:t xml:space="preserve"> </w:t>
      </w:r>
      <w:r>
        <w:t xml:space="preserve">with the flow baseline, but robustness to</w:t>
      </w:r>
      <w:r>
        <w:t xml:space="preserve"> </w:t>
      </w:r>
      <w:r>
        <w:t xml:space="preserve">distribution shift is</w:t>
      </w:r>
      <w:r>
        <w:t xml:space="preserve"> </w:t>
      </w:r>
      <w:r>
        <w:rPr>
          <w:bCs/>
          <w:b/>
        </w:rPr>
        <w:t xml:space="preserve">more than doubled</w:t>
      </w:r>
      <w:r>
        <w:t xml:space="preserve"> </w:t>
      </w:r>
      <w:r>
        <w:t xml:space="preserve">and that difference is statistically significant. An ablation</w:t>
      </w:r>
      <w:r>
        <w:t xml:space="preserve"> </w:t>
      </w:r>
      <w:r>
        <w:t xml:space="preserve">shows the robustness comes mainly from the cross-attention pooler (which lets the head see the input</w:t>
      </w:r>
      <w:r>
        <w:t xml:space="preserve"> </w:t>
      </w:r>
      <w:r>
        <w:t xml:space="preserve">properly) and the operator structure, not from raw capacity — which is why our final module keeps the</w:t>
      </w:r>
      <w:r>
        <w:t xml:space="preserve"> </w:t>
      </w:r>
      <w:r>
        <w:t xml:space="preserve">3-block pooler and the operator merge, and drops the PH loss.</w:t>
      </w:r>
    </w:p>
    <w:p>
      <w:pPr>
        <w:pStyle w:val="BodyText"/>
      </w:pPr>
      <w:r>
        <w:t xml:space="preserve">The persistent-homology loss, though mathematically appealing, did not help in either study — on SmolVLA</w:t>
      </w:r>
      <w:r>
        <w:t xml:space="preserve"> </w:t>
      </w:r>
      <w:r>
        <w:t xml:space="preserve">it significantly reduced robustness — so we do not recommend it in this form. We think this is a genuinely</w:t>
      </w:r>
      <w:r>
        <w:t xml:space="preserve"> </w:t>
      </w:r>
      <w:r>
        <w:t xml:space="preserve">useful negative result.</w:t>
      </w:r>
    </w:p>
    <w:p>
      <w:pPr>
        <w:pStyle w:val="BodyText"/>
      </w:pPr>
      <w:r>
        <w:t xml:space="preserve">For future work we would like to finish the pi0.5 and GR00T runs and fill in the Section 7 tables; measure</w:t>
      </w:r>
      <w:r>
        <w:t xml:space="preserve"> </w:t>
      </w:r>
      <w:r>
        <w:t xml:space="preserve">SmolVLA robustness on all four suites; try training the head with the backbone unfrozen; and explore</w:t>
      </w:r>
      <w:r>
        <w:t xml:space="preserve"> </w:t>
      </w:r>
      <w:r>
        <w:t xml:space="preserve">better but still cheap topological losses, since our current PH term is only a fast surrogate.</w:t>
      </w:r>
    </w:p>
    <w:bookmarkEnd w:id="78"/>
    <w:bookmarkStart w:id="79" w:name="references"/>
    <w:p>
      <w:pPr>
        <w:pStyle w:val="Heading1"/>
      </w:pPr>
      <w:r>
        <w:t xml:space="preserve">References</w:t>
      </w:r>
    </w:p>
    <w:p>
      <w:pPr>
        <w:numPr>
          <w:ilvl w:val="0"/>
          <w:numId w:val="1001"/>
        </w:numPr>
        <w:pStyle w:val="Compact"/>
      </w:pPr>
      <w:r>
        <w:t xml:space="preserve">T. Chen and H. Chen.</w:t>
      </w:r>
      <w:r>
        <w:t xml:space="preserve"> </w:t>
      </w:r>
      <w:r>
        <w:rPr>
          <w:iCs/>
          <w:i/>
        </w:rPr>
        <w:t xml:space="preserve">Universal approximation to nonlinear operators by neural networks with arbitrary</w:t>
      </w:r>
      <w:r>
        <w:rPr>
          <w:iCs/>
          <w:i/>
        </w:rPr>
        <w:t xml:space="preserve"> </w:t>
      </w:r>
      <w:r>
        <w:rPr>
          <w:iCs/>
          <w:i/>
        </w:rPr>
        <w:t xml:space="preserve">activation functions and its application to dynamical systems.</w:t>
      </w:r>
      <w:r>
        <w:t xml:space="preserve"> </w:t>
      </w:r>
      <w:r>
        <w:t xml:space="preserve">IEEE Transactions on Neural Networks, 1995.</w:t>
      </w:r>
    </w:p>
    <w:p>
      <w:pPr>
        <w:numPr>
          <w:ilvl w:val="0"/>
          <w:numId w:val="1001"/>
        </w:numPr>
        <w:pStyle w:val="Compact"/>
      </w:pPr>
      <w:r>
        <w:t xml:space="preserve">L. Lu, P. Jin, G. Pang, Z. Zhang, and G. E. Karniadakis.</w:t>
      </w:r>
      <w:r>
        <w:t xml:space="preserve"> </w:t>
      </w:r>
      <w:r>
        <w:rPr>
          <w:iCs/>
          <w:i/>
        </w:rPr>
        <w:t xml:space="preserve">Learning nonlinear operators via DeepONet based</w:t>
      </w:r>
      <w:r>
        <w:rPr>
          <w:iCs/>
          <w:i/>
        </w:rPr>
        <w:t xml:space="preserve"> </w:t>
      </w:r>
      <w:r>
        <w:rPr>
          <w:iCs/>
          <w:i/>
        </w:rPr>
        <w:t xml:space="preserve">on the universal approximation theorem of operators.</w:t>
      </w:r>
      <w:r>
        <w:t xml:space="preserve"> </w:t>
      </w:r>
      <w:r>
        <w:t xml:space="preserve">Nature Machine Intelligence, 2021.</w:t>
      </w:r>
    </w:p>
    <w:p>
      <w:pPr>
        <w:numPr>
          <w:ilvl w:val="0"/>
          <w:numId w:val="1001"/>
        </w:numPr>
        <w:pStyle w:val="Compact"/>
      </w:pPr>
      <w:r>
        <w:t xml:space="preserve">H. Edelsbrunner, D. Letscher, and A. Zomorodian.</w:t>
      </w:r>
      <w:r>
        <w:t xml:space="preserve"> </w:t>
      </w:r>
      <w:r>
        <w:rPr>
          <w:iCs/>
          <w:i/>
        </w:rPr>
        <w:t xml:space="preserve">Topological persistence and simplification.</w:t>
      </w:r>
      <w:r>
        <w:t xml:space="preserve"> </w:t>
      </w:r>
      <w:r>
        <w:t xml:space="preserve">Discrete &amp;</w:t>
      </w:r>
      <w:r>
        <w:t xml:space="preserve"> </w:t>
      </w:r>
      <w:r>
        <w:t xml:space="preserve">Computational Geometry, 2002.</w:t>
      </w:r>
    </w:p>
    <w:p>
      <w:pPr>
        <w:numPr>
          <w:ilvl w:val="0"/>
          <w:numId w:val="1001"/>
        </w:numPr>
        <w:pStyle w:val="Compact"/>
      </w:pPr>
      <w:r>
        <w:t xml:space="preserve">G. Carlsson.</w:t>
      </w:r>
      <w:r>
        <w:t xml:space="preserve"> </w:t>
      </w:r>
      <w:r>
        <w:rPr>
          <w:iCs/>
          <w:i/>
        </w:rPr>
        <w:t xml:space="preserve">Topology and data.</w:t>
      </w:r>
      <w:r>
        <w:t xml:space="preserve"> </w:t>
      </w:r>
      <w:r>
        <w:t xml:space="preserve">Bulletin of the American Mathematical Society, 2009.</w:t>
      </w:r>
    </w:p>
    <w:p>
      <w:pPr>
        <w:numPr>
          <w:ilvl w:val="0"/>
          <w:numId w:val="1001"/>
        </w:numPr>
        <w:pStyle w:val="Compact"/>
      </w:pPr>
      <w:r>
        <w:t xml:space="preserve">Y. Lipman, R. T. Q. Chen, H. Ben-Hamu, M. Nickel, and M. Le.</w:t>
      </w:r>
      <w:r>
        <w:t xml:space="preserve"> </w:t>
      </w:r>
      <w:r>
        <w:rPr>
          <w:iCs/>
          <w:i/>
        </w:rPr>
        <w:t xml:space="preserve">Flow matching for generative modeling.</w:t>
      </w:r>
      <w:r>
        <w:t xml:space="preserve"> </w:t>
      </w:r>
      <w:r>
        <w:t xml:space="preserve">ICLR, 2023.</w:t>
      </w:r>
    </w:p>
    <w:p>
      <w:pPr>
        <w:numPr>
          <w:ilvl w:val="0"/>
          <w:numId w:val="1001"/>
        </w:numPr>
        <w:pStyle w:val="Compact"/>
      </w:pPr>
      <w:r>
        <w:t xml:space="preserve">T. Z. Zhao, V. Kumar, S. Levine, and C. Finn.</w:t>
      </w:r>
      <w:r>
        <w:t xml:space="preserve"> </w:t>
      </w:r>
      <w:r>
        <w:rPr>
          <w:iCs/>
          <w:i/>
        </w:rPr>
        <w:t xml:space="preserve">Learning fine-grained bimanual manipulation with low-cost</w:t>
      </w:r>
      <w:r>
        <w:rPr>
          <w:iCs/>
          <w:i/>
        </w:rPr>
        <w:t xml:space="preserve"> </w:t>
      </w:r>
      <w:r>
        <w:rPr>
          <w:iCs/>
          <w:i/>
        </w:rPr>
        <w:t xml:space="preserve">hardware (ACT).</w:t>
      </w:r>
      <w:r>
        <w:t xml:space="preserve"> </w:t>
      </w:r>
      <w:r>
        <w:t xml:space="preserve">RSS, 2023.</w:t>
      </w:r>
    </w:p>
    <w:p>
      <w:pPr>
        <w:numPr>
          <w:ilvl w:val="0"/>
          <w:numId w:val="1001"/>
        </w:numPr>
        <w:pStyle w:val="Compact"/>
      </w:pPr>
      <w:r>
        <w:t xml:space="preserve">Physical Intelligence.</w:t>
      </w:r>
      <w:r>
        <w:t xml:space="preserve"> </w:t>
      </w:r>
      <w:r>
        <w:rPr>
          <w:iCs/>
          <w:i/>
        </w:rPr>
        <w:t xml:space="preserve">pi0 / pi0.5: a vision-language-action flow model for general robot control.</w:t>
      </w:r>
      <w:r>
        <w:t xml:space="preserve"> </w:t>
      </w:r>
      <w:r>
        <w:t xml:space="preserve">2024-2025.</w:t>
      </w:r>
    </w:p>
    <w:p>
      <w:pPr>
        <w:numPr>
          <w:ilvl w:val="0"/>
          <w:numId w:val="1001"/>
        </w:numPr>
        <w:pStyle w:val="Compact"/>
      </w:pPr>
      <w:r>
        <w:t xml:space="preserve">NVIDIA.</w:t>
      </w:r>
      <w:r>
        <w:t xml:space="preserve"> </w:t>
      </w:r>
      <w:r>
        <w:rPr>
          <w:iCs/>
          <w:i/>
        </w:rPr>
        <w:t xml:space="preserve">GR00T N1 / N1.6: an open foundation model for humanoid and manipulation robots.</w:t>
      </w:r>
      <w:r>
        <w:t xml:space="preserve"> </w:t>
      </w:r>
      <w:r>
        <w:t xml:space="preserve">2025.</w:t>
      </w:r>
    </w:p>
    <w:p>
      <w:pPr>
        <w:numPr>
          <w:ilvl w:val="0"/>
          <w:numId w:val="1001"/>
        </w:numPr>
        <w:pStyle w:val="Compact"/>
      </w:pPr>
      <w:r>
        <w:t xml:space="preserve">B. Liu et al. </w:t>
      </w:r>
      <w:r>
        <w:rPr>
          <w:iCs/>
          <w:i/>
        </w:rPr>
        <w:t xml:space="preserve">LIBERO: benchmarking knowledge transfer for lifelong robot learning.</w:t>
      </w:r>
      <w:r>
        <w:t xml:space="preserve"> </w:t>
      </w:r>
      <w:r>
        <w:t xml:space="preserve">NeurIPS Datasets and</w:t>
      </w:r>
      <w:r>
        <w:t xml:space="preserve"> </w:t>
      </w:r>
      <w:r>
        <w:t xml:space="preserve">Benchmarks, 2023.</w:t>
      </w:r>
    </w:p>
    <w:p>
      <w:pPr>
        <w:numPr>
          <w:ilvl w:val="0"/>
          <w:numId w:val="1001"/>
        </w:numPr>
        <w:pStyle w:val="Compact"/>
      </w:pPr>
      <w:r>
        <w:t xml:space="preserve">The LeRobot / SmolVLA project (Hugging Face), 2024-2025.</w:t>
      </w:r>
    </w:p>
    <w:bookmarkEnd w:id="79"/>
    <w:bookmarkStart w:id="80" w:name="appendix-a.-action-head-sizes"/>
    <w:p>
      <w:pPr>
        <w:pStyle w:val="Heading1"/>
      </w:pPr>
      <w:r>
        <w:t xml:space="preserve">Appendix A. Action-head sizes</w:t>
      </w:r>
    </w:p>
    <w:tbl>
      <w:tblPr>
        <w:tblStyle w:val="Table"/>
        <w:tblW w:type="dxa" w:w="9360"/>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tblPr>
      <w:tblGrid>
        <w:gridCol w:w="2340"/>
        <w:gridCol w:w="2340"/>
        <w:gridCol w:w="2340"/>
        <w:gridCol w:w="2340"/>
      </w:tblGrid>
      <w:tr>
        <w:tc>
          <w:tcPr>
            <w:tcW w:type="dxa" w:w="2340"/>
          </w:tcPr>
          <w:p>
            <w:pPr>
              <w:pStyle w:val="Compact"/>
              <w:jc w:val="left"/>
            </w:pPr>
            <w:r>
              <w:t xml:space="preserve">Model</w:t>
            </w:r>
          </w:p>
        </w:tc>
        <w:tc>
          <w:tcPr>
            <w:tcW w:type="dxa" w:w="2340"/>
          </w:tcPr>
          <w:p>
            <w:pPr>
              <w:pStyle w:val="Compact"/>
              <w:jc w:val="left"/>
            </w:pPr>
            <w:r>
              <w:t xml:space="preserve">Baseline head</w:t>
            </w:r>
          </w:p>
        </w:tc>
        <w:tc>
          <w:tcPr>
            <w:tcW w:type="dxa" w:w="2340"/>
          </w:tcPr>
          <w:p>
            <w:pPr>
              <w:pStyle w:val="Compact"/>
              <w:jc w:val="left"/>
            </w:pPr>
            <w:r>
              <w:t xml:space="preserve">DeepONet head</w:t>
            </w:r>
          </w:p>
        </w:tc>
        <w:tc>
          <w:tcPr>
            <w:tcW w:type="dxa" w:w="2340"/>
          </w:tcPr>
          <w:p>
            <w:pPr>
              <w:pStyle w:val="Compact"/>
              <w:jc w:val="left"/>
            </w:pPr>
            <w:r>
              <w:t xml:space="preserve">Reduction</w:t>
            </w:r>
          </w:p>
        </w:tc>
      </w:tr>
      <w:tr>
        <w:tc>
          <w:tcPr>
            <w:tcW w:type="dxa" w:w="2340"/>
          </w:tcPr>
          <w:p>
            <w:pPr>
              <w:pStyle w:val="Compact"/>
              <w:jc w:val="left"/>
            </w:pPr>
            <w:r>
              <w:t xml:space="preserve">SmolVLA</w:t>
            </w:r>
          </w:p>
        </w:tc>
        <w:tc>
          <w:tcPr>
            <w:tcW w:type="dxa" w:w="2340"/>
          </w:tcPr>
          <w:p>
            <w:pPr>
              <w:pStyle w:val="Compact"/>
              <w:jc w:val="left"/>
            </w:pPr>
            <w:r>
              <w:t xml:space="preserve">99.9M (flow)</w:t>
            </w:r>
          </w:p>
        </w:tc>
        <w:tc>
          <w:tcPr>
            <w:tcW w:type="dxa" w:w="2340"/>
          </w:tcPr>
          <w:p>
            <w:pPr>
              <w:pStyle w:val="Compact"/>
              <w:jc w:val="left"/>
            </w:pPr>
            <w:r>
              <w:t xml:space="preserve">10.4M</w:t>
            </w:r>
          </w:p>
        </w:tc>
        <w:tc>
          <w:tcPr>
            <w:tcW w:type="dxa" w:w="2340"/>
          </w:tcPr>
          <w:p>
            <w:pPr>
              <w:pStyle w:val="Compact"/>
              <w:jc w:val="left"/>
            </w:pPr>
            <w:r>
              <w:t xml:space="preserve">9.6×</w:t>
            </w:r>
          </w:p>
        </w:tc>
      </w:tr>
      <w:tr>
        <w:tc>
          <w:tcPr>
            <w:tcW w:type="dxa" w:w="2340"/>
          </w:tcPr>
          <w:p>
            <w:pPr>
              <w:pStyle w:val="Compact"/>
              <w:jc w:val="left"/>
            </w:pPr>
            <w:r>
              <w:t xml:space="preserve">ACT</w:t>
            </w:r>
          </w:p>
        </w:tc>
        <w:tc>
          <w:tcPr>
            <w:tcW w:type="dxa" w:w="2340"/>
          </w:tcPr>
          <w:p>
            <w:pPr>
              <w:pStyle w:val="Compact"/>
              <w:jc w:val="left"/>
            </w:pPr>
            <w:r>
              <w:t xml:space="preserve">37.8M (decoder)</w:t>
            </w:r>
          </w:p>
        </w:tc>
        <w:tc>
          <w:tcPr>
            <w:tcW w:type="dxa" w:w="2340"/>
          </w:tcPr>
          <w:p>
            <w:pPr>
              <w:pStyle w:val="Compact"/>
              <w:jc w:val="left"/>
            </w:pPr>
            <w:r>
              <w:t xml:space="preserve">10.2M</w:t>
            </w:r>
          </w:p>
        </w:tc>
        <w:tc>
          <w:tcPr>
            <w:tcW w:type="dxa" w:w="2340"/>
          </w:tcPr>
          <w:p>
            <w:pPr>
              <w:pStyle w:val="Compact"/>
              <w:jc w:val="left"/>
            </w:pPr>
            <w:r>
              <w:t xml:space="preserve">3.7×</w:t>
            </w:r>
          </w:p>
        </w:tc>
      </w:tr>
      <w:tr>
        <w:tc>
          <w:tcPr>
            <w:tcW w:type="dxa" w:w="2340"/>
          </w:tcPr>
          <w:p>
            <w:pPr>
              <w:pStyle w:val="Compact"/>
              <w:jc w:val="left"/>
            </w:pPr>
            <w:r>
              <w:t xml:space="preserve">pi0.5</w:t>
            </w:r>
          </w:p>
        </w:tc>
        <w:tc>
          <w:tcPr>
            <w:tcW w:type="dxa" w:w="2340"/>
          </w:tcPr>
          <w:p>
            <w:pPr>
              <w:pStyle w:val="Compact"/>
              <w:jc w:val="left"/>
            </w:pPr>
            <w:r>
              <w:t xml:space="preserve">flow expert</w:t>
            </w:r>
          </w:p>
        </w:tc>
        <w:tc>
          <w:tcPr>
            <w:tcW w:type="dxa" w:w="2340"/>
          </w:tcPr>
          <w:p>
            <w:pPr>
              <w:pStyle w:val="Compact"/>
              <w:jc w:val="left"/>
            </w:pPr>
            <w:r>
              <w:t xml:space="preserve">~11M</w:t>
            </w:r>
          </w:p>
        </w:tc>
        <w:tc>
          <w:tcPr>
            <w:tcW w:type="dxa" w:w="2340"/>
          </w:tcPr>
          <w:p>
            <w:pPr>
              <w:pStyle w:val="Compact"/>
              <w:jc w:val="left"/>
            </w:pPr>
            <w:r>
              <w:t xml:space="preserve">(large)</w:t>
            </w:r>
          </w:p>
        </w:tc>
      </w:tr>
      <w:tr>
        <w:tc>
          <w:tcPr>
            <w:tcW w:type="dxa" w:w="2340"/>
          </w:tcPr>
          <w:p>
            <w:pPr>
              <w:pStyle w:val="Compact"/>
              <w:jc w:val="left"/>
            </w:pPr>
            <w:r>
              <w:t xml:space="preserve">GR00T N1.6</w:t>
            </w:r>
          </w:p>
        </w:tc>
        <w:tc>
          <w:tcPr>
            <w:tcW w:type="dxa" w:w="2340"/>
          </w:tcPr>
          <w:p>
            <w:pPr>
              <w:pStyle w:val="Compact"/>
              <w:jc w:val="left"/>
            </w:pPr>
            <w:r>
              <w:t xml:space="preserve">~80-100M (diffusion)</w:t>
            </w:r>
          </w:p>
        </w:tc>
        <w:tc>
          <w:tcPr>
            <w:tcW w:type="dxa" w:w="2340"/>
          </w:tcPr>
          <w:p>
            <w:pPr>
              <w:pStyle w:val="Compact"/>
              <w:jc w:val="left"/>
            </w:pPr>
            <w:r>
              <w:t xml:space="preserve">~11M</w:t>
            </w:r>
          </w:p>
        </w:tc>
        <w:tc>
          <w:tcPr>
            <w:tcW w:type="dxa" w:w="2340"/>
          </w:tcPr>
          <w:p>
            <w:pPr>
              <w:pStyle w:val="Compact"/>
              <w:jc w:val="left"/>
            </w:pPr>
            <w:r>
              <w:t xml:space="preserve">~8-9×</w:t>
            </w:r>
          </w:p>
        </w:tc>
      </w:tr>
    </w:tbl>
    <w:p>
      <w:pPr>
        <w:pStyle w:val="BodyText"/>
      </w:pPr>
      <w:r>
        <w:t xml:space="preserve">Inside the DeepONet head, most parameters are in the cross-attention pooler (~7M) and the branch MLP</w:t>
      </w:r>
      <w:r>
        <w:t xml:space="preserve"> </w:t>
      </w:r>
      <w:r>
        <w:t xml:space="preserve">(~3.3M); the trunk and output MLPs are tiny.</w:t>
      </w:r>
    </w:p>
    <w:bookmarkEnd w:id="80"/>
    <w:bookmarkStart w:id="81" w:name="appendix-b.-variant-names"/>
    <w:p>
      <w:pPr>
        <w:pStyle w:val="Heading1"/>
      </w:pPr>
      <w:r>
        <w:t xml:space="preserve">Appendix B. Variant names</w:t>
      </w:r>
    </w:p>
    <w:p>
      <w:pPr>
        <w:numPr>
          <w:ilvl w:val="0"/>
          <w:numId w:val="1002"/>
        </w:numPr>
        <w:pStyle w:val="Compact"/>
      </w:pPr>
      <w:r>
        <w:rPr>
          <w:bCs/>
          <w:b/>
        </w:rPr>
        <w:t xml:space="preserve">M1 / baseline</w:t>
      </w:r>
      <w:r>
        <w:t xml:space="preserve"> </w:t>
      </w:r>
      <w:r>
        <w:t xml:space="preserve">— the model’s original head (flow matching for SmolVLA and pi0.5; transformer decoder</w:t>
      </w:r>
      <w:r>
        <w:t xml:space="preserve"> </w:t>
      </w:r>
      <w:r>
        <w:t xml:space="preserve">for ACT; diffusion for GR00T).</w:t>
      </w:r>
    </w:p>
    <w:p>
      <w:pPr>
        <w:numPr>
          <w:ilvl w:val="0"/>
          <w:numId w:val="1002"/>
        </w:numPr>
        <w:pStyle w:val="Compact"/>
      </w:pPr>
      <w:r>
        <w:rPr>
          <w:bCs/>
          <w:b/>
        </w:rPr>
        <w:t xml:space="preserve">M3 / DeepONet</w:t>
      </w:r>
      <w:r>
        <w:t xml:space="preserve"> </w:t>
      </w:r>
      <w:r>
        <w:t xml:space="preserve">— our operator head replacing the baseline head.</w:t>
      </w:r>
    </w:p>
    <w:p>
      <w:pPr>
        <w:numPr>
          <w:ilvl w:val="0"/>
          <w:numId w:val="1002"/>
        </w:numPr>
        <w:pStyle w:val="Compact"/>
      </w:pPr>
      <w:r>
        <w:rPr>
          <w:bCs/>
          <w:b/>
        </w:rPr>
        <w:t xml:space="preserve">M4 / DeepONet + PH</w:t>
      </w:r>
      <w:r>
        <w:t xml:space="preserve"> </w:t>
      </w:r>
      <w:r>
        <w:t xml:space="preserve">— the operator head with the persistent-homology loss added during training only.</w:t>
      </w:r>
    </w:p>
    <w:bookmarkEnd w:id="81"/>
    <w:bookmarkStart w:id="82" w:name="appendix-c.-note-on-honesty-and-fairness"/>
    <w:p>
      <w:pPr>
        <w:pStyle w:val="Heading1"/>
      </w:pPr>
      <w:r>
        <w:t xml:space="preserve">Appendix C. Note on honesty and fairness</w:t>
      </w:r>
    </w:p>
    <w:p>
      <w:pPr>
        <w:pStyle w:val="FirstParagraph"/>
      </w:pPr>
      <w:r>
        <w:t xml:space="preserve">We gave our own method its strongest fair implementation but did not tune the evaluation to favour it. We</w:t>
      </w:r>
      <w:r>
        <w:t xml:space="preserve"> </w:t>
      </w:r>
      <w:r>
        <w:t xml:space="preserve">report whatever the measurements show, including where our head does not win (the SmolVLA in-distribution</w:t>
      </w:r>
      <w:r>
        <w:t xml:space="preserve"> </w:t>
      </w:r>
      <w:r>
        <w:t xml:space="preserve">tie, the fixed-budget four-suite result, and the fact that persistent homology hurts). This matters because</w:t>
      </w:r>
      <w:r>
        <w:t xml:space="preserve"> </w:t>
      </w:r>
      <w:r>
        <w:t xml:space="preserve">the results are meant to stand up to careful statistical review.</w:t>
      </w:r>
    </w:p>
    <w:bookmarkEnd w:id="82"/>
    <w:sectPr>
      <w:headerReference w:type="default" r:id="rId9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right"/>
    </w:pPr>
    <w:r>
      <w:drawing>
        <wp:inline distT="0" distB="0" distL="0" distR="0">
          <wp:extent cx="1417320" cy="371202"/>
          <wp:effectExtent l="0" t="0" r="0" b="0"/>
          <wp:docPr id="9101" name="cnu_logo"/>
          <wp:cNvGraphicFramePr>
            <a:graphicFrameLocks noChangeAspect="1"/>
          </wp:cNvGraphicFramePr>
          <a:graphic>
            <a:graphicData uri="http://schemas.openxmlformats.org/drawingml/2006/picture">
              <pic:pic>
                <pic:nvPicPr>
                  <pic:cNvPr id="9101" name="cnu_logo"/>
                  <pic:cNvPicPr/>
                </pic:nvPicPr>
                <pic:blipFill>
                  <a:blip r:embed="rIdCNUlogo"/>
                  <a:stretch>
                    <a:fillRect/>
                  </a:stretch>
                </pic:blipFill>
                <pic:spPr>
                  <a:xfrm>
                    <a:off x="0" y="0"/>
                    <a:ext cx="1417320" cy="371202"/>
                  </a:xfrm>
                  <a:prstGeom prst="rect">
                    <a:avLst/>
                  </a:prstGeom>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emf" /><Relationship Type="http://schemas.openxmlformats.org/officeDocument/2006/relationships/image" Id="rId37" Target="media/rId37.emf" /><Relationship Type="http://schemas.openxmlformats.org/officeDocument/2006/relationships/image" Id="rId38" Target="media/rId38.emf" /><Relationship Type="http://schemas.openxmlformats.org/officeDocument/2006/relationships/image" Id="rId29" Target="media/rId29.emf" /><Relationship Type="http://schemas.openxmlformats.org/officeDocument/2006/relationships/image" Id="rId30" Target="media/rId30.emf" /><Relationship Type="http://schemas.openxmlformats.org/officeDocument/2006/relationships/image" Id="rId32" Target="media/rId32.emf" /><Relationship Type="http://schemas.openxmlformats.org/officeDocument/2006/relationships/image" Id="rId39" Target="media/rId39.emf" /><Relationship Type="http://schemas.openxmlformats.org/officeDocument/2006/relationships/image" Id="rId58" Target="media/rId58.emf" /><Relationship Type="http://schemas.openxmlformats.org/officeDocument/2006/relationships/image" Id="rId74" Target="media/rId74.emf" /><Relationship Type="http://schemas.openxmlformats.org/officeDocument/2006/relationships/image" Id="rId75" Target="media/rId75.emf" /><Relationship Type="http://schemas.openxmlformats.org/officeDocument/2006/relationships/image" Id="rId35" Target="media/rId35.emf" /><Relationship Type="http://schemas.openxmlformats.org/officeDocument/2006/relationships/image" Id="rId26" Target="media/rId26.emf" /><Relationship Type="http://schemas.openxmlformats.org/officeDocument/2006/relationships/image" Id="rId69" Target="media/rId69.png" /><Relationship Type="http://schemas.openxmlformats.org/officeDocument/2006/relationships/image" Id="rId66" Target="media/rId66.png" /><Relationship Type="http://schemas.openxmlformats.org/officeDocument/2006/relationships/image" Id="rId60" Target="media/rId60.png" /><Relationship Type="http://schemas.openxmlformats.org/officeDocument/2006/relationships/image" Id="rId70" Target="media/rId70.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41" Target="media/rId41.png" /><Relationship Type="http://schemas.openxmlformats.org/officeDocument/2006/relationships/image" Id="rId53" Target="media/rId53.png" /><Relationship Type="http://schemas.openxmlformats.org/officeDocument/2006/relationships/image" Id="rId52" Target="media/rId52.png" /><Relationship Type="http://schemas.openxmlformats.org/officeDocument/2006/relationships/image" Id="rId42" Target="media/rId42.png" /><Relationship Type="http://schemas.openxmlformats.org/officeDocument/2006/relationships/image" Id="rId44" Target="media/rId44.png" /><Relationship Type="http://schemas.openxmlformats.org/officeDocument/2006/relationships/image" Id="rId46" Target="media/rId46.png" /><Relationship Id="rId9100" Type="http://schemas.openxmlformats.org/officeDocument/2006/relationships/header" Target="header1.xml"/></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Relationship Id="rIdCNUlogo" Type="http://schemas.openxmlformats.org/officeDocument/2006/relationships/image" Target="media/cnu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of Summer Term Internship 2026</dc:title>
  <dc:creator>Ayush Shah</dc:creator>
  <cp:keywords/>
  <dcterms:created xsi:type="dcterms:W3CDTF">2026-07-02T02:34:47Z</dcterms:created>
  <dcterms:modified xsi:type="dcterms:W3CDTF">2026-07-02T02:34:47Z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Lab: ISLAB · Supervisor: Dr. Oh Kwon Seol</vt:lpwstr>
  </property>
  <property fmtid="{D5CDD505-2E9C-101B-9397-08002B2CF9AE}" pid="3" name="subtitle">
    <vt:lpwstr>Better Action Heads for Robot Vision-Language-Action Models: An Operator-Learning and Topology View</vt:lpwstr>
  </property>
</Properties>
</file>