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0" w:lineRule="auto"/>
        <w:jc w:val="left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0" w:lineRule="auto"/>
        <w:jc w:val="left"/>
        <w:rPr>
          <w:b w:val="1"/>
          <w:color w:val="000000"/>
          <w:sz w:val="36"/>
          <w:szCs w:val="36"/>
        </w:rPr>
      </w:pPr>
      <w:bookmarkStart w:colFirst="0" w:colLast="0" w:name="_xwm5zz3xeuhx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Texto base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0" w:lineRule="auto"/>
        <w:jc w:val="left"/>
        <w:rPr>
          <w:b w:val="1"/>
          <w:color w:val="000000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0" w:lineRule="auto"/>
        <w:jc w:val="lef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Rule="auto"/>
        <w:jc w:val="left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Inteligência Emocional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72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Andrea Volante Costa e Giselda Fernanda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after="120" w:before="1200" w:lineRule="auto"/>
        <w:ind w:hanging="454"/>
        <w:jc w:val="center"/>
        <w:rPr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after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Nesta unidade será tratado o conceito de Inteligência Emocional, segundo seu principal disseminador, Daniel Goleman. Serão abordados ainda o conhecimento das próprias emoções, como lidar com as emoções, automotivação, reconhecimento das emoções alheias e como lidar com relacionamentos.</w:t>
      </w:r>
    </w:p>
    <w:p w:rsidR="00000000" w:rsidDel="00000000" w:rsidP="00000000" w:rsidRDefault="00000000" w:rsidRPr="00000000" w14:paraId="00000009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Rule="auto"/>
        <w:jc w:val="left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Como surgiu o conceito de Inteligência Emocional?</w:t>
      </w:r>
    </w:p>
    <w:p w:rsidR="00000000" w:rsidDel="00000000" w:rsidP="00000000" w:rsidRDefault="00000000" w:rsidRPr="00000000" w14:paraId="0000000B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Rule="auto"/>
        <w:ind w:left="2551" w:right="157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“Era verão em Nova York e, naquela tarde, fazia um calor sufocante, insuportável. As pessoas andavam pelas ruas mal-humoradas, em visível desconforto. Na avenida Madison, peguei um ônibus para voltar para o hotel. Ao entrar, fui surpreendido com a saudação que veio do motorista: “Oi, como vai?” Esse homem negro de meia-idade e largo sorriso repetiu a mesma saudação a todos os outros passageiros que foram entrando ao longo do percurso no denso tráfego do centro da cidade. Todos, como eu, se surpreendiam, mas, porque estavam com o humor comprometido pelas condições climáticas do dia, poucos retribuíram o cumprimento. À medida que o ônibus se arrastava pelo traçado quadriculado do centro da cidade, porém, uma transformação mágica foi gradativamente ocorrendo. (...) Ao descerem do ônibus, as pessoas já haviam se </w:t>
      </w:r>
      <w:r w:rsidDel="00000000" w:rsidR="00000000" w:rsidRPr="00000000">
        <w:rPr>
          <w:sz w:val="22"/>
          <w:szCs w:val="22"/>
          <w:rtl w:val="0"/>
        </w:rPr>
        <w:t xml:space="preserve">despido</w:t>
      </w:r>
      <w:r w:rsidDel="00000000" w:rsidR="00000000" w:rsidRPr="00000000">
        <w:rPr>
          <w:sz w:val="22"/>
          <w:szCs w:val="22"/>
          <w:rtl w:val="0"/>
        </w:rPr>
        <w:t xml:space="preserve"> da couraça de mau humor com que tinham entrado, e, quando o motorista lhes dirigiu o sonoro “Até logo, tenha um ótimo dia!”, todas lhe deram uma resposta sorridente. Há vinte anos a lembrança desse episódio me acompanha. (...) Ainda hoje, ao imaginar a possibilidade de os passageiros daquele ônibus terem propagado pela cidade aquele vírus de bem-estar, constato que aquele motorista era uma espécie de pacificador urbano, uma espécie de mago que tinha o poder de transmutar a soturna irritabilidade que fervilhava nos passageiros de seu ônibus, de amolecer e abrir corações.” (GOLEMAN, 1995)</w:t>
      </w:r>
    </w:p>
    <w:p w:rsidR="00000000" w:rsidDel="00000000" w:rsidP="00000000" w:rsidRDefault="00000000" w:rsidRPr="00000000" w14:paraId="0000000C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before="240" w:lineRule="auto"/>
        <w:ind w:left="2551" w:right="157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Com essa anedota sobre a possibilidade de um comportamento de uma pessoa ser capaz de alterar a resposta emocional de uma outra, o psicólogo e redator de ciência do New York Times, Daniel Goleman inicia um dos maiores best-sellers de todos os tempos, o livro “Inteligência Emocional: a teoria revolucionária que define o que é ser inteligente”. Embora o conceito original não seja de Goleman - é atribuído a Wayne Payne, por sua tese de doutorado de 1985 e retomado por estudos experimentais por Sternberg e Salovey em 1989 - foi por meio desta obra, de 1995, que o conceito tornou-se popular e, em certa medida, inaugurador de uma nova forma de compreensão sobre a inteligência. </w:t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É bem verdade que, em 1983, outro psicólogo e pesquisador, Howard Gardner, propôs uma teoria que escandalizou os mais conservadores na área da Psicologia Comportamental. Para Gardner, a inteligência humana não se baseia apenas em nossa capacidade cognitiva (raciocínio e memória); antes, </w:t>
      </w:r>
      <w:r w:rsidDel="00000000" w:rsidR="00000000" w:rsidRPr="00000000">
        <w:rPr>
          <w:highlight w:val="white"/>
          <w:rtl w:val="0"/>
        </w:rPr>
        <w:t xml:space="preserve">divide-se em sete dimensões - posteriormente revisadas para nove - da inteligência: inteligência visual/espacial, inteligência musical, inteligência verbal/linguística, inteligência lógica/matemática, inteligência interpessoal, inteligência intrapessoal, inteligência corporal/cinestésica, inteligência naturalista e inteligência existencial como nos mostra a figura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720"/>
        </w:tabs>
        <w:jc w:val="center"/>
        <w:rPr/>
      </w:pPr>
      <w:r w:rsidDel="00000000" w:rsidR="00000000" w:rsidRPr="00000000">
        <w:rPr/>
        <w:drawing>
          <wp:inline distB="0" distT="0" distL="0" distR="0">
            <wp:extent cx="3094037" cy="3138556"/>
            <wp:effectExtent b="0" l="0" r="0" t="0"/>
            <wp:docPr descr="Inteligências Múltiplas: a teoria e os 9 tipos - Cola da Web" id="5" name="image2.png"/>
            <a:graphic>
              <a:graphicData uri="http://schemas.openxmlformats.org/drawingml/2006/picture">
                <pic:pic>
                  <pic:nvPicPr>
                    <pic:cNvPr descr="Inteligências Múltiplas: a teoria e os 9 tipos - Cola da Web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037" cy="3138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720"/>
        </w:tabs>
        <w:jc w:val="center"/>
        <w:rPr/>
      </w:pPr>
      <w:r w:rsidDel="00000000" w:rsidR="00000000" w:rsidRPr="00000000">
        <w:rPr>
          <w:rtl w:val="0"/>
        </w:rPr>
        <w:t xml:space="preserve">Figura 1. Tipos de Inteligência</w:t>
      </w:r>
    </w:p>
    <w:p w:rsidR="00000000" w:rsidDel="00000000" w:rsidP="00000000" w:rsidRDefault="00000000" w:rsidRPr="00000000" w14:paraId="00000011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ab/>
        <w:t xml:space="preserve">No entanto, Gardner não reconheceu naquele momento o papel decisivo de nossas emoções em nosso desempenho e é partindo dessa questão - “que fatores entram em jogo, por exemplo, quando pessoas de alto QI malogram e aquelas com um QI modesto se </w:t>
      </w:r>
      <w:r w:rsidDel="00000000" w:rsidR="00000000" w:rsidRPr="00000000">
        <w:rPr>
          <w:rtl w:val="0"/>
        </w:rPr>
        <w:t xml:space="preserve">saem</w:t>
      </w:r>
      <w:r w:rsidDel="00000000" w:rsidR="00000000" w:rsidRPr="00000000">
        <w:rPr>
          <w:rtl w:val="0"/>
        </w:rPr>
        <w:t xml:space="preserve"> surpreendentemente bem?” (GOLEMAN, 1995) - que Goleman estabelece a importância de ser “emocionalmente inteligente”.</w:t>
      </w:r>
    </w:p>
    <w:p w:rsidR="00000000" w:rsidDel="00000000" w:rsidP="00000000" w:rsidRDefault="00000000" w:rsidRPr="00000000" w14:paraId="00000012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1.2. O que é Inteligência Emocional?</w:t>
      </w:r>
    </w:p>
    <w:p w:rsidR="00000000" w:rsidDel="00000000" w:rsidP="00000000" w:rsidRDefault="00000000" w:rsidRPr="00000000" w14:paraId="00000014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ab/>
        <w:t xml:space="preserve">“Eu diria que o que faz a diferença são aptidões aqui chamadas de inteligência emocional, as quais incluem autocontrole, zelo e persistência, e a capacidade de automotivação.” (GOLEMAN, 1995). Em outras palavras, para o autor (1995), Inteligência Emocional é a capacidade de reconhecer e avaliar os seus próprios sentimentos e os dos outros, assim como a capacidade de lidar com eles.</w:t>
      </w:r>
    </w:p>
    <w:p w:rsidR="00000000" w:rsidDel="00000000" w:rsidP="00000000" w:rsidRDefault="00000000" w:rsidRPr="00000000" w14:paraId="00000015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ab/>
        <w:t xml:space="preserve">Desta forma, trata-se de “uma visão mais ampla de inteligência, tentando reinventá-la em termos do que é necessário para viver bem a vida” (STERNBERG; SALOVEY, 1989 apud GOLEMAN, 1995). E, neste sentido, a Inteligência Emocional está intimamente relacionada com o sucesso pessoal e profissional, porque não depende de um “milagre” biológico, como o QI (Quoeficiente Intelectual), que é genético; mas sim, do desenvolvimento - e aprendizado - de estratégias de convívio social e autocontrole que podem ser ensinados; portanto, acessíveis a todos que os queiram aprender.</w:t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Goleman identificou as seguintes habilidades como fundamentais para se desenvolver a Inteligência Emocional:</w:t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20"/>
        </w:tabs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00675" cy="315023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3150235"/>
                          <a:chOff x="0" y="0"/>
                          <a:chExt cx="5413400" cy="31502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00675" cy="3150225"/>
                            <a:chOff x="0" y="0"/>
                            <a:chExt cx="5400675" cy="3150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0067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231957"/>
                              <a:ext cx="5400675" cy="3528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rgbClr val="BF504D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70033" y="25317"/>
                              <a:ext cx="3780472" cy="41328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BF504D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290208" y="45492"/>
                              <a:ext cx="3740122" cy="372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Conhecer as próprias emoções</w:t>
                                </w:r>
                              </w:p>
                            </w:txbxContent>
                          </wps:txbx>
                          <wps:bodyPr anchorCtr="0" anchor="ctr" bIns="0" lIns="142875" spcFirstLastPara="1" rIns="142875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866997"/>
                              <a:ext cx="5400675" cy="3528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70033" y="660357"/>
                              <a:ext cx="3780472" cy="41328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chemeClr val="accent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290208" y="680532"/>
                              <a:ext cx="3740122" cy="372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Lidar com as emoções</w:t>
                                </w:r>
                              </w:p>
                            </w:txbxContent>
                          </wps:txbx>
                          <wps:bodyPr anchorCtr="0" anchor="ctr" bIns="0" lIns="142875" spcFirstLastPara="1" rIns="142875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1502037"/>
                              <a:ext cx="5400675" cy="3528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4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70033" y="1295397"/>
                              <a:ext cx="3780472" cy="41328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chemeClr val="accent4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290208" y="1315572"/>
                              <a:ext cx="3740122" cy="372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Motivar-se</w:t>
                                </w:r>
                              </w:p>
                            </w:txbxContent>
                          </wps:txbx>
                          <wps:bodyPr anchorCtr="0" anchor="ctr" bIns="0" lIns="142875" spcFirstLastPara="1" rIns="142875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2137077"/>
                              <a:ext cx="5400675" cy="3528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rgbClr val="49ACC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70033" y="1930437"/>
                              <a:ext cx="3780472" cy="41328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49ACC5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290208" y="1950612"/>
                              <a:ext cx="3740122" cy="372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Reconhecer as emoções nos outros</w:t>
                                </w:r>
                              </w:p>
                            </w:txbxContent>
                          </wps:txbx>
                          <wps:bodyPr anchorCtr="0" anchor="ctr" bIns="0" lIns="142875" spcFirstLastPara="1" rIns="142875" wrap="square" tIns="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2772117"/>
                              <a:ext cx="5400675" cy="3528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rgbClr val="F7954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70033" y="2565477"/>
                              <a:ext cx="3780472" cy="41328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7954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290208" y="2585652"/>
                              <a:ext cx="3740122" cy="372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Lidar com relacionamentos</w:t>
                                </w:r>
                              </w:p>
                            </w:txbxContent>
                          </wps:txbx>
                          <wps:bodyPr anchorCtr="0" anchor="ctr" bIns="0" lIns="142875" spcFirstLastPara="1" rIns="142875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00675" cy="3150235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31502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As três primeiras são habilidades intrapessoais e as duas últimas, interpessoais. Tanto quanto as primeiras são essenciais ao autoconhecimento, estas últimas são importantes em: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 de grupos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habilidade essencial da liderança, que envolve iniciativa e coordenação de esforços de um grupo, bem como a habilidade de obter do grupo o reconhecimento da liderança e uma cooperação espontânea.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Negociação de soluções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característica do mediador, prevenindo e resolvendo conflitos.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Empatia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é a capacidade de, ao identificar e compreender os desejos e sentimentos dos indivíduos, reagir adequadamente de forma a canalizá-los ao interesse comum.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Sensibilidade social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é a capacidade de detectar e identificar sentimentos e motivos das pessoas.</w:t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1.3. Conhecer as próprias emoções</w:t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“Todas as emoções são, em essência, impulsos, legados pela evolução, para uma ação imediata, para planejamentos instantâneos que visam lidar com a vida. A própria raiz da palavra emoção é do latim movere — “mover” — acrescida do prefixo “e-”, que denota “afastar-se”, o que indica que em qualquer emoção está implícita uma propensão para um agir imediato.” (GOLEMAN, 1995)</w:t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2222"/>
          <w:highlight w:val="white"/>
          <w:rtl w:val="0"/>
        </w:rPr>
        <w:t xml:space="preserve">Segundo os estudos da Psicologia Moderna, há apenas 5 emoções básicas, biologicamente falando: raiva, tristeza, nojo/repugnância, alegria e medo. Mas, Goleman (1995) acrescenta mais uma, o amor.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720"/>
        </w:tabs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00675" cy="315023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3150235"/>
                          <a:chOff x="0" y="0"/>
                          <a:chExt cx="5400675" cy="31502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00675" cy="3150225"/>
                            <a:chOff x="0" y="0"/>
                            <a:chExt cx="5400675" cy="3150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00675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408741" y="179519"/>
                              <a:ext cx="2646197" cy="2646197"/>
                            </a:xfrm>
                            <a:prstGeom prst="pie">
                              <a:avLst>
                                <a:gd fmla="val 16200000" name="adj1"/>
                                <a:gd fmla="val 19800000" name="adj2"/>
                              </a:avLst>
                            </a:prstGeom>
                            <a:solidFill>
                              <a:srgbClr val="BF504D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2794844" y="517539"/>
                              <a:ext cx="693051" cy="535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raiva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40243" y="234018"/>
                              <a:ext cx="2646197" cy="2646197"/>
                            </a:xfrm>
                            <a:prstGeom prst="pie">
                              <a:avLst>
                                <a:gd fmla="val 19800000" name="adj1"/>
                                <a:gd fmla="val 1800000" name="adj2"/>
                              </a:avLst>
                            </a:prstGeom>
                            <a:solidFill>
                              <a:srgbClr val="BD6D4F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3235877" y="1305098"/>
                              <a:ext cx="724554" cy="5197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medo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408741" y="288517"/>
                              <a:ext cx="2646197" cy="2646197"/>
                            </a:xfrm>
                            <a:prstGeom prst="pie">
                              <a:avLst>
                                <a:gd fmla="val 1800000" name="adj1"/>
                                <a:gd fmla="val 5400000" name="adj2"/>
                              </a:avLst>
                            </a:prstGeom>
                            <a:solidFill>
                              <a:srgbClr val="BC8B5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2794844" y="2076906"/>
                              <a:ext cx="693051" cy="535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felicidade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345736" y="288517"/>
                              <a:ext cx="2646197" cy="2646197"/>
                            </a:xfrm>
                            <a:prstGeom prst="pie">
                              <a:avLst>
                                <a:gd fmla="val 5400000" name="adj1"/>
                                <a:gd fmla="val 9000000" name="adj2"/>
                              </a:avLst>
                            </a:prstGeom>
                            <a:solidFill>
                              <a:srgbClr val="BBA754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1912778" y="2076906"/>
                              <a:ext cx="693051" cy="535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amor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314234" y="234018"/>
                              <a:ext cx="2646197" cy="2646197"/>
                            </a:xfrm>
                            <a:prstGeom prst="pie">
                              <a:avLst>
                                <a:gd fmla="val 9000000" name="adj1"/>
                                <a:gd fmla="val 12600000" name="adj2"/>
                              </a:avLst>
                            </a:prstGeom>
                            <a:solidFill>
                              <a:srgbClr val="B4BA55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440243" y="1305098"/>
                              <a:ext cx="724554" cy="5197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repugnância</w:t>
                                </w:r>
                              </w:p>
                            </w:txbxContent>
                          </wps:txbx>
                          <wps:bodyPr anchorCtr="0" anchor="ctr" bIns="13950" lIns="13950" spcFirstLastPara="1" rIns="13950" wrap="square" tIns="1395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345736" y="179519"/>
                              <a:ext cx="2646197" cy="2646197"/>
                            </a:xfrm>
                            <a:prstGeom prst="pie">
                              <a:avLst>
                                <a:gd fmla="val 12600000" name="adj1"/>
                                <a:gd fmla="val 16200000" name="adj2"/>
                              </a:avLst>
                            </a:prstGeom>
                            <a:solidFill>
                              <a:srgbClr val="99B958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1912778" y="517539"/>
                              <a:ext cx="693051" cy="535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tristeza</w:t>
                                </w:r>
                              </w:p>
                            </w:txbxContent>
                          </wps:txbx>
                          <wps:bodyPr anchorCtr="0" anchor="ctr" bIns="15225" lIns="15225" spcFirstLastPara="1" rIns="15225" wrap="square" tIns="152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44832" y="15707"/>
                              <a:ext cx="2973821" cy="297382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4" y="4067"/>
                                  </a:moveTo>
                                  <a:lnTo>
                                    <a:pt x="60004" y="4067"/>
                                  </a:lnTo>
                                  <a:cubicBezTo>
                                    <a:pt x="78196" y="4069"/>
                                    <a:pt x="95251" y="12917"/>
                                    <a:pt x="105727" y="27790"/>
                                  </a:cubicBezTo>
                                  <a:lnTo>
                                    <a:pt x="109239" y="25763"/>
                                  </a:lnTo>
                                  <a:lnTo>
                                    <a:pt x="105797" y="33559"/>
                                  </a:lnTo>
                                  <a:lnTo>
                                    <a:pt x="96909" y="32882"/>
                                  </a:lnTo>
                                  <a:lnTo>
                                    <a:pt x="100419" y="30855"/>
                                  </a:lnTo>
                                  <a:cubicBezTo>
                                    <a:pt x="91053" y="17867"/>
                                    <a:pt x="76017" y="10171"/>
                                    <a:pt x="60004" y="101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F50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276334" y="70206"/>
                              <a:ext cx="2973821" cy="297382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08439" y="32034"/>
                                  </a:moveTo>
                                  <a:lnTo>
                                    <a:pt x="108439" y="32034"/>
                                  </a:lnTo>
                                  <a:cubicBezTo>
                                    <a:pt x="117536" y="47790"/>
                                    <a:pt x="118401" y="66986"/>
                                    <a:pt x="110758" y="83496"/>
                                  </a:cubicBezTo>
                                  <a:lnTo>
                                    <a:pt x="114269" y="85523"/>
                                  </a:lnTo>
                                  <a:lnTo>
                                    <a:pt x="105797" y="86441"/>
                                  </a:lnTo>
                                  <a:lnTo>
                                    <a:pt x="101940" y="78405"/>
                                  </a:lnTo>
                                  <a:lnTo>
                                    <a:pt x="105449" y="80431"/>
                                  </a:lnTo>
                                  <a:cubicBezTo>
                                    <a:pt x="112015" y="65825"/>
                                    <a:pt x="111162" y="48953"/>
                                    <a:pt x="103155" y="350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D6D4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244832" y="124705"/>
                              <a:ext cx="2973821" cy="297382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08439" y="87966"/>
                                  </a:moveTo>
                                  <a:cubicBezTo>
                                    <a:pt x="99343" y="103721"/>
                                    <a:pt x="83153" y="114068"/>
                                    <a:pt x="65035" y="115706"/>
                                  </a:cubicBezTo>
                                  <a:lnTo>
                                    <a:pt x="65035" y="119760"/>
                                  </a:lnTo>
                                  <a:lnTo>
                                    <a:pt x="60004" y="112882"/>
                                  </a:lnTo>
                                  <a:lnTo>
                                    <a:pt x="65034" y="105523"/>
                                  </a:lnTo>
                                  <a:lnTo>
                                    <a:pt x="65034" y="109576"/>
                                  </a:lnTo>
                                  <a:lnTo>
                                    <a:pt x="65034" y="109576"/>
                                  </a:lnTo>
                                  <a:cubicBezTo>
                                    <a:pt x="80965" y="107958"/>
                                    <a:pt x="95148" y="98783"/>
                                    <a:pt x="103155" y="849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C8B5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82020" y="124705"/>
                              <a:ext cx="2973821" cy="297382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59996" y="115933"/>
                                  </a:moveTo>
                                  <a:lnTo>
                                    <a:pt x="59996" y="115933"/>
                                  </a:lnTo>
                                  <a:cubicBezTo>
                                    <a:pt x="41804" y="115931"/>
                                    <a:pt x="24749" y="107083"/>
                                    <a:pt x="14273" y="92210"/>
                                  </a:cubicBezTo>
                                  <a:lnTo>
                                    <a:pt x="10761" y="94237"/>
                                  </a:lnTo>
                                  <a:lnTo>
                                    <a:pt x="14203" y="86441"/>
                                  </a:lnTo>
                                  <a:lnTo>
                                    <a:pt x="23091" y="87118"/>
                                  </a:lnTo>
                                  <a:lnTo>
                                    <a:pt x="19581" y="89145"/>
                                  </a:lnTo>
                                  <a:lnTo>
                                    <a:pt x="19581" y="89145"/>
                                  </a:lnTo>
                                  <a:cubicBezTo>
                                    <a:pt x="28947" y="102133"/>
                                    <a:pt x="43983" y="109829"/>
                                    <a:pt x="59996" y="1098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BA75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150518" y="70206"/>
                              <a:ext cx="2973821" cy="297382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1561" y="87966"/>
                                  </a:moveTo>
                                  <a:cubicBezTo>
                                    <a:pt x="2464" y="72210"/>
                                    <a:pt x="1599" y="53014"/>
                                    <a:pt x="9242" y="36504"/>
                                  </a:cubicBezTo>
                                  <a:lnTo>
                                    <a:pt x="5731" y="34477"/>
                                  </a:lnTo>
                                  <a:lnTo>
                                    <a:pt x="14203" y="33559"/>
                                  </a:lnTo>
                                  <a:lnTo>
                                    <a:pt x="18060" y="41595"/>
                                  </a:lnTo>
                                  <a:lnTo>
                                    <a:pt x="14551" y="39569"/>
                                  </a:lnTo>
                                  <a:cubicBezTo>
                                    <a:pt x="7985" y="54175"/>
                                    <a:pt x="8838" y="71047"/>
                                    <a:pt x="16845" y="849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4BA5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182020" y="15707"/>
                              <a:ext cx="2973821" cy="297382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1561" y="32034"/>
                                  </a:moveTo>
                                  <a:lnTo>
                                    <a:pt x="11561" y="32034"/>
                                  </a:lnTo>
                                  <a:cubicBezTo>
                                    <a:pt x="20657" y="16279"/>
                                    <a:pt x="36847" y="5932"/>
                                    <a:pt x="54965" y="4294"/>
                                  </a:cubicBezTo>
                                  <a:lnTo>
                                    <a:pt x="54965" y="240"/>
                                  </a:lnTo>
                                  <a:lnTo>
                                    <a:pt x="59996" y="7118"/>
                                  </a:lnTo>
                                  <a:lnTo>
                                    <a:pt x="54966" y="14477"/>
                                  </a:lnTo>
                                  <a:lnTo>
                                    <a:pt x="54966" y="10424"/>
                                  </a:lnTo>
                                  <a:lnTo>
                                    <a:pt x="54966" y="10424"/>
                                  </a:lnTo>
                                  <a:cubicBezTo>
                                    <a:pt x="39035" y="12042"/>
                                    <a:pt x="24852" y="21217"/>
                                    <a:pt x="16845" y="350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9B95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00675" cy="3150235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31502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Não somos capazes de controlar racionalmente as nossas emoções. Isso significa que, quando uma pessoa está tomada pela raiva, a pior coisa que se pode dizer para ele é “fique calma”, justamente porque ela não tem domínio racional sobre o que sente - e acabará se sentindo com mais raiva ainda, por não conseguir se controlar. Nesta situação, sugere Goleman (1995), o mais sábio a fazer é se desviar do objeto que causa a raiva, seja ele pensamento ou ação. 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Isto porque, embora não sejamos capazes de controlar nossas emoções, somos responsáveis por nossas ações; logo, conseguimos moldar nosso comportamento de maneira a conseguirmos, racionalmente, sermos dominados por nossas emoções e levados a fazer algo do qual nos </w:t>
      </w:r>
      <w:r w:rsidDel="00000000" w:rsidR="00000000" w:rsidRPr="00000000">
        <w:rPr>
          <w:rtl w:val="0"/>
        </w:rPr>
        <w:t xml:space="preserve">arrependeríamos</w:t>
      </w:r>
      <w:r w:rsidDel="00000000" w:rsidR="00000000" w:rsidRPr="00000000">
        <w:rPr>
          <w:rtl w:val="0"/>
        </w:rPr>
        <w:t xml:space="preserve"> depois.</w:t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Assim, segundo o autor (1995), a melhora no reconhecimento e designação das próprias emoções leva à maior capacidade de se entender as causas dos sentimentos. Assim, somos capazes de diferenciar sentimentos e atos, sendo mais eficazes em nosso autocontrole emocional.</w:t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1.4. Lidar com as emoções</w:t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Goleman (1995) propõe o seguinte teste para exemplificar o papel decisivo do da forma como lidamos com nossas próprias emoções:</w:t>
      </w:r>
    </w:p>
    <w:p w:rsidR="00000000" w:rsidDel="00000000" w:rsidP="00000000" w:rsidRDefault="00000000" w:rsidRPr="00000000" w14:paraId="00000029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720"/>
        </w:tabs>
        <w:ind w:left="226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Imagine por um instante que você está num avião voando de Nova York para São Francisco. É um voo tranquilo, mas quando se aproxima das montanhas Rochosas, o piloto fala pelo alto-falante: — ‘Senhoras e senhores, vamos entrar numa área de turbulência. Por favor, retornem às suas poltronas e apertem os cintos’. Aí, o avião entra em turbulência, a mais forte porque você já passou, jogando para cima e para baixo, para um lado e para outro, como uma bola nas ondas do mar.</w:t>
      </w:r>
    </w:p>
    <w:p w:rsidR="00000000" w:rsidDel="00000000" w:rsidP="00000000" w:rsidRDefault="00000000" w:rsidRPr="00000000" w14:paraId="0000002B">
      <w:pPr>
        <w:keepNext w:val="1"/>
        <w:pageBreakBefore w:val="0"/>
        <w:tabs>
          <w:tab w:val="left" w:leader="none" w:pos="720"/>
        </w:tabs>
        <w:spacing w:before="240" w:lineRule="auto"/>
        <w:ind w:right="157"/>
        <w:rPr/>
      </w:pPr>
      <w:r w:rsidDel="00000000" w:rsidR="00000000" w:rsidRPr="00000000">
        <w:rPr>
          <w:rtl w:val="0"/>
        </w:rPr>
        <w:t xml:space="preserve">Como você se comportaria? Para o autor (1995), existem duas possibilidades:</w:t>
      </w:r>
    </w:p>
    <w:p w:rsidR="00000000" w:rsidDel="00000000" w:rsidP="00000000" w:rsidRDefault="00000000" w:rsidRPr="00000000" w14:paraId="0000002C">
      <w:pPr>
        <w:keepNext w:val="1"/>
        <w:pageBreakBefore w:val="0"/>
        <w:numPr>
          <w:ilvl w:val="0"/>
          <w:numId w:val="3"/>
        </w:numPr>
        <w:tabs>
          <w:tab w:val="left" w:leader="none" w:pos="720"/>
        </w:tabs>
        <w:spacing w:before="240" w:lineRule="auto"/>
        <w:ind w:left="720" w:right="157" w:hanging="360"/>
        <w:rPr/>
      </w:pPr>
      <w:r w:rsidDel="00000000" w:rsidR="00000000" w:rsidRPr="00000000">
        <w:rPr>
          <w:rtl w:val="0"/>
        </w:rPr>
        <w:t xml:space="preserve">“Os vigilantes, que se fixam nos apuros podem, pelo próprio ato de acompanhar com tanto cuidado, ampliar, sem saber, a magnitude de suas reações — sobretudo se essa fixação é desprovida da equanimidade da autoconsciência. O resultado é que suas emoções se tornam mais intensas”;</w:t>
      </w:r>
    </w:p>
    <w:p w:rsidR="00000000" w:rsidDel="00000000" w:rsidP="00000000" w:rsidRDefault="00000000" w:rsidRPr="00000000" w14:paraId="0000002D">
      <w:pPr>
        <w:keepNext w:val="1"/>
        <w:pageBreakBefore w:val="0"/>
        <w:numPr>
          <w:ilvl w:val="0"/>
          <w:numId w:val="3"/>
        </w:numPr>
        <w:tabs>
          <w:tab w:val="left" w:leader="none" w:pos="720"/>
        </w:tabs>
        <w:spacing w:before="0" w:lineRule="auto"/>
        <w:ind w:left="720" w:right="157" w:hanging="360"/>
        <w:rPr/>
      </w:pPr>
      <w:r w:rsidDel="00000000" w:rsidR="00000000" w:rsidRPr="00000000">
        <w:rPr>
          <w:rtl w:val="0"/>
        </w:rPr>
        <w:t xml:space="preserve">“Os que se desligam, que se distraem, percebem menos coisas em suas reações e com isso minimizam a experiência de sua resposta emocional, se não a própria dimensão da resposta”.</w:t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Segundo a forma como você sente a situação, a sua reação diante do desafio é completamente diferente; logo, o sucesso ou insucesso de suas ações está diretamente relacionado ao como cada um reage frente às suas emoções que sente - e não às emoções em si. </w:t>
        <w:tab/>
      </w:r>
    </w:p>
    <w:p w:rsidR="00000000" w:rsidDel="00000000" w:rsidP="00000000" w:rsidRDefault="00000000" w:rsidRPr="00000000" w14:paraId="0000002F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Desse modo, alguém que não tem consciência sobre o que sente certamente não saberá o que fazer quando o sente; mas, pior do que isso, mesmo aqueles que sabem o que estão sentindo correm o risco de não saberem lidar com seu conteúdo emocional, simplesmente por não terem repertório nem modelo de comportamento. </w:t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Neste sentido, as experiências da vida - assim como a educação tanto formal (na escola) quanto informal </w:t>
      </w:r>
      <w:r w:rsidDel="00000000" w:rsidR="00000000" w:rsidRPr="00000000">
        <w:rPr>
          <w:rtl w:val="0"/>
        </w:rPr>
        <w:t xml:space="preserve">(pais,</w:t>
      </w:r>
      <w:r w:rsidDel="00000000" w:rsidR="00000000" w:rsidRPr="00000000">
        <w:rPr>
          <w:rtl w:val="0"/>
        </w:rPr>
        <w:t xml:space="preserve"> sociedade) são definidoras para que a pessoa tenha repertório de comportamentos que o auxiliem no maior número possível de situações que ele eventualmente venha a passar.</w:t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72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1.5. Motivar-se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Já falamos um pouquinho sobre motivação. No entanto, vamos retomar esse conceito a partir de Goleman. Segundo ele, essa é a habilidade primordial entre todas as outras. Isto porque a pessoa que não é capaz de reconhecer seus talentos, também não é capaz de mensurar corretamente os seus desafios - nem quanto de energia, autodeterminação e coragem irá necessitar para concluir com sucesso as tarefas que se propõe a realizar na vida. </w:t>
      </w:r>
    </w:p>
    <w:p w:rsidR="00000000" w:rsidDel="00000000" w:rsidP="00000000" w:rsidRDefault="00000000" w:rsidRPr="00000000" w14:paraId="00000034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 xml:space="preserve">Ainda segundo o autor (1995)</w:t>
      </w:r>
    </w:p>
    <w:p w:rsidR="00000000" w:rsidDel="00000000" w:rsidP="00000000" w:rsidRDefault="00000000" w:rsidRPr="00000000" w14:paraId="00000035">
      <w:pPr>
        <w:keepNext w:val="1"/>
        <w:pageBreakBefore w:val="0"/>
        <w:tabs>
          <w:tab w:val="left" w:leader="none" w:pos="720"/>
        </w:tabs>
        <w:spacing w:before="240" w:lineRule="auto"/>
        <w:ind w:left="2551" w:right="157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[...] pôr as emoções a serviço de uma meta é essencial para centrar a atenção, para a automotivação e o controle, e para a criatividade. O autocontrole emocional — saber adiar a satisfação e conter a impulsividade — está por trás de qualquer tipo de realização. E a capacidade de entrar em estado de “fluxo” possibilita excepcionais desempenhos. As pessoas que têm essa capacidade tendem a ser mais produtivas e eficazes em qualquer atividade que exerçam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1"/>
        <w:pageBreakBefore w:val="0"/>
        <w:tabs>
          <w:tab w:val="left" w:leader="none" w:pos="720"/>
        </w:tabs>
        <w:spacing w:before="240" w:lineRule="auto"/>
        <w:ind w:left="2551" w:right="1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pageBreakBefore w:val="0"/>
        <w:tabs>
          <w:tab w:val="left" w:leader="none" w:pos="720"/>
        </w:tabs>
        <w:spacing w:before="240" w:lineRule="auto"/>
        <w:rPr/>
      </w:pPr>
      <w:r w:rsidDel="00000000" w:rsidR="00000000" w:rsidRPr="00000000">
        <w:rPr>
          <w:rtl w:val="0"/>
        </w:rPr>
        <w:tab/>
        <w:t xml:space="preserve">Isso acontece porque a ansiedade que o medo pelo fracasso traz é paralisante e compromete o desempenho cognitivo, mesmo diante de tarefas simples como lembrar de um compromisso ou realizar uma rotina diária, sem procrastinação. </w:t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Portanto, ser capaz de identificar-se com seu lado virtuoso - sem deixar de levar em consideração suas limitações reais e objetivas - é a chave para que uma pessoa consiga realizar o que se propõe a fazer, com sucesso e, sobretudo, aprendizado. </w:t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1.6. Reconhecer as emoções nos outros</w:t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capacidade de reconhecer as emoções nos outros leva o nome de empatia. Para Goleman (1995), “a empatia é alimentada pelo autoconhecimento; quanto mais consciente estivermos acerca de nossas próprias emoções, mais facilmente poderemos entender o sentimento alheio.”</w:t>
      </w:r>
    </w:p>
    <w:p w:rsidR="00000000" w:rsidDel="00000000" w:rsidP="00000000" w:rsidRDefault="00000000" w:rsidRPr="00000000" w14:paraId="0000003C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Assim, quanto maior a nossa capacidade de adotar a perspectiva do outro, mais sensibilidade em relação aos sentimentos dos outros teremos e mais capazes seremos de melhor ouvi-los realmente, sem a interferência de nossos pré julgamentos e oposições. </w:t>
      </w:r>
    </w:p>
    <w:p w:rsidR="00000000" w:rsidDel="00000000" w:rsidP="00000000" w:rsidRDefault="00000000" w:rsidRPr="00000000" w14:paraId="0000003D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Decorrem de nossa habilidade de empatia diversas ações que transformam não apenas a nossa vida, mas a nossa sociedade em um lugar melhor para se viver, como, por exemplo, a solidariedade, a responsabilidade social e a sustentabilidade em nossas escolhas de consumo consciente.</w:t>
      </w:r>
    </w:p>
    <w:p w:rsidR="00000000" w:rsidDel="00000000" w:rsidP="00000000" w:rsidRDefault="00000000" w:rsidRPr="00000000" w14:paraId="0000003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1.7. Lidar com os relacionamentos</w:t>
      </w:r>
    </w:p>
    <w:p w:rsidR="00000000" w:rsidDel="00000000" w:rsidP="00000000" w:rsidRDefault="00000000" w:rsidRPr="00000000" w14:paraId="00000042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forma como as pessoas expressam seus sentimentos constitui-se numa competência social muito importante. Segundo Goleman (1995)</w:t>
      </w:r>
    </w:p>
    <w:p w:rsidR="00000000" w:rsidDel="00000000" w:rsidP="00000000" w:rsidRDefault="00000000" w:rsidRPr="00000000" w14:paraId="00000043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left" w:leader="none" w:pos="720"/>
        </w:tabs>
        <w:ind w:left="2409" w:right="441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[...] quando duas pessoas interagem, a transferência de estado de espírito ocorre da mais expressiva para a mais passiva. </w:t>
      </w:r>
      <w:r w:rsidDel="00000000" w:rsidR="00000000" w:rsidRPr="00000000">
        <w:rPr>
          <w:rtl w:val="0"/>
        </w:rPr>
        <w:t xml:space="preserve">(...) </w:t>
      </w:r>
      <w:r w:rsidDel="00000000" w:rsidR="00000000" w:rsidRPr="00000000">
        <w:rPr>
          <w:sz w:val="22"/>
          <w:szCs w:val="22"/>
          <w:rtl w:val="0"/>
        </w:rPr>
        <w:t xml:space="preserve">Em suma, a coordenação de estados de espírito é a essência da relação, a versão adulta da sintonia que a mãe tem com seu bebê. Cacioppo sugere que uma determinante de eficiência interpessoal é a habilidade com que as pessoas conduzem essa sincronia emocional. Se são hábeis em sintonizar-se com os estados de espírito das pessoas, ou podem facilmente pôr emocionalmente outras pessoas sob seu controle, suas interações se darão com mais leveza no nível emocional.</w:t>
      </w:r>
    </w:p>
    <w:p w:rsidR="00000000" w:rsidDel="00000000" w:rsidP="00000000" w:rsidRDefault="00000000" w:rsidRPr="00000000" w14:paraId="00000045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Portanto, a capacidade de identificação com as outras pessoas faz de alguns verdadeiros mestres em relacionarem-se com as demais pessoas. Evidentemente, essa também é uma capacidade inata naqueles que desejam manipular outras pessoas, sendo aqui importante a ética entre aqueles que se relacionam.</w:t>
      </w:r>
    </w:p>
    <w:p w:rsidR="00000000" w:rsidDel="00000000" w:rsidP="00000000" w:rsidRDefault="00000000" w:rsidRPr="00000000" w14:paraId="00000047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Goleman ainda cita quatro aptidões comuns àqueles que possuem alta inteligência interpessoal, como foi chamada essa habilidade por Hatch e Gardner (GOLEMAN, 1995):</w:t>
      </w:r>
    </w:p>
    <w:p w:rsidR="00000000" w:rsidDel="00000000" w:rsidP="00000000" w:rsidRDefault="00000000" w:rsidRPr="00000000" w14:paraId="00000048">
      <w:pPr>
        <w:pageBreakBefore w:val="0"/>
        <w:tabs>
          <w:tab w:val="left" w:leader="none" w:pos="720"/>
        </w:tabs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130040" cy="96774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040" cy="967740"/>
                          <a:chOff x="0" y="0"/>
                          <a:chExt cx="4141550" cy="9677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130025" cy="967725"/>
                            <a:chOff x="0" y="0"/>
                            <a:chExt cx="4130025" cy="967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30025" cy="96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209" y="195896"/>
                              <a:ext cx="959911" cy="575946"/>
                            </a:xfrm>
                            <a:prstGeom prst="rect">
                              <a:avLst/>
                            </a:prstGeom>
                            <a:solidFill>
                              <a:srgbClr val="BF504D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1209" y="195896"/>
                              <a:ext cx="959911" cy="575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Organizar grupos </w:t>
                                </w:r>
                              </w:p>
                            </w:txbxContent>
                          </wps:txbx>
                          <wps:bodyPr anchorCtr="0" anchor="ctr" bIns="53325" lIns="53325" spcFirstLastPara="1" rIns="53325" wrap="square" tIns="533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057112" y="195896"/>
                              <a:ext cx="959911" cy="575946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1057112" y="195896"/>
                              <a:ext cx="959911" cy="575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Negociar soluções </w:t>
                                </w:r>
                              </w:p>
                            </w:txbxContent>
                          </wps:txbx>
                          <wps:bodyPr anchorCtr="0" anchor="ctr" bIns="53325" lIns="53325" spcFirstLastPara="1" rIns="53325" wrap="square" tIns="533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113015" y="195896"/>
                              <a:ext cx="959911" cy="575946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2113015" y="195896"/>
                              <a:ext cx="959911" cy="575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Ligação pessoal </w:t>
                                </w:r>
                              </w:p>
                            </w:txbxContent>
                          </wps:txbx>
                          <wps:bodyPr anchorCtr="0" anchor="ctr" bIns="53325" lIns="53325" spcFirstLastPara="1" rIns="53325" wrap="square" tIns="533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3168918" y="195896"/>
                              <a:ext cx="959911" cy="575946"/>
                            </a:xfrm>
                            <a:prstGeom prst="rect">
                              <a:avLst/>
                            </a:prstGeom>
                            <a:solidFill>
                              <a:srgbClr val="49ACC5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6" name="Shape 46"/>
                          <wps:spPr>
                            <a:xfrm>
                              <a:off x="3168918" y="195896"/>
                              <a:ext cx="959911" cy="575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Análise social </w:t>
                                </w:r>
                              </w:p>
                            </w:txbxContent>
                          </wps:txbx>
                          <wps:bodyPr anchorCtr="0" anchor="ctr" bIns="53325" lIns="53325" spcFirstLastPara="1" rIns="53325" wrap="square" tIns="533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130040" cy="96774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0040" cy="9677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Organizar grupos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aptidão essencial do líder, que envolve iniciar e coordenar os esforços de um grupo de pessoas;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Negociar soluções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o talento do mediador, que evita ou resolve conflitos. As pessoas que têm essa aptidão são excelentes para fazer acordos, arbitrar ou mediar disputas;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Ligação pessoal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o talento de empatia e ligação. Isto facilita estabelecer um relacionamento ou reconhecer e reagir adequadamente aos sentimentos e preocupações das pessoas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social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poder detectar e intuir sentimentos, motivos e preocupações das pessoas. Esse conhecimento de como os outros se sentem leva a uma fácil intimidade ou senso de relação. </w:t>
      </w:r>
    </w:p>
    <w:p w:rsidR="00000000" w:rsidDel="00000000" w:rsidP="00000000" w:rsidRDefault="00000000" w:rsidRPr="00000000" w14:paraId="0000004D">
      <w:pPr>
        <w:pageBreakBefore w:val="0"/>
        <w:tabs>
          <w:tab w:val="left" w:leader="none" w:pos="7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tabs>
          <w:tab w:val="left" w:leader="none" w:pos="720"/>
        </w:tabs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Você aprendeu bastante sobre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Emocional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já será capaz de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reconhecer e avaliar os seus próprios sentimentos e os dos outros, assim como poderá ampliar a capacidade de lidar melhor com as pessoas e as emoções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 </w:t>
      </w:r>
      <w:r w:rsidDel="00000000" w:rsidR="00000000" w:rsidRPr="00000000">
        <w:rPr>
          <w:rFonts w:ascii="Quattrocento Sans" w:cs="Quattrocento Sans" w:eastAsia="Quattrocento Sans" w:hAnsi="Quattrocento Sans"/>
          <w:color w:val="222222"/>
          <w:highlight w:val="white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tabs>
          <w:tab w:val="left" w:leader="none" w:pos="720"/>
        </w:tabs>
        <w:rPr/>
      </w:pPr>
      <w:r w:rsidDel="00000000" w:rsidR="00000000" w:rsidRPr="00000000">
        <w:br w:type="column"/>
      </w: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GOLEMAN, D. </w:t>
      </w:r>
      <w:r w:rsidDel="00000000" w:rsidR="00000000" w:rsidRPr="00000000">
        <w:rPr>
          <w:i w:val="1"/>
          <w:rtl w:val="0"/>
        </w:rPr>
        <w:t xml:space="preserve">Inteligência Emocional: a Teoria Revolucionária que define o que é ser inteligente</w:t>
      </w:r>
      <w:r w:rsidDel="00000000" w:rsidR="00000000" w:rsidRPr="00000000">
        <w:rPr>
          <w:rtl w:val="0"/>
        </w:rPr>
        <w:t xml:space="preserve">. 52. ed. Rio de Janeiro: Objetiva, 1995. </w:t>
      </w:r>
    </w:p>
    <w:p w:rsidR="00000000" w:rsidDel="00000000" w:rsidP="00000000" w:rsidRDefault="00000000" w:rsidRPr="00000000" w14:paraId="00000052">
      <w:pPr>
        <w:pageBreakBefore w:val="0"/>
        <w:tabs>
          <w:tab w:val="left" w:leader="none" w:pos="7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SANTOS, R. P dos.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highlight w:val="white"/>
          <w:rtl w:val="0"/>
        </w:rPr>
        <w:t xml:space="preserve">Inteligências Múltiplas e Aprendizagem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. São Paulo: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Coursepark,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2002.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tabs>
        <w:tab w:val="left" w:leader="none" w:pos="720"/>
      </w:tabs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tabs>
        <w:tab w:val="left" w:leader="none" w:pos="72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tabs>
        <w:tab w:val="left" w:leader="none" w:pos="720"/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pageBreakBefore w:val="0"/>
      <w:tabs>
        <w:tab w:val="left" w:leader="none" w:pos="720"/>
        <w:tab w:val="right" w:leader="none" w:pos="9356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br w:type="textWrapping"/>
      <w:t xml:space="preserve">SOFT SKILLS</w:t>
    </w: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ageBreakBefore w:val="0"/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14287</wp:posOffset>
          </wp:positionH>
          <wp:positionV relativeFrom="page">
            <wp:posOffset>4763</wp:posOffset>
          </wp:positionV>
          <wp:extent cx="7524750" cy="10677525"/>
          <wp:effectExtent b="0" l="0" r="0" t="0"/>
          <wp:wrapTopAndBottom distB="0" distT="0"/>
          <wp:docPr id="7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4750" cy="10677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