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Texto base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9</w:t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Gestão de Conflitos e Negociação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Andrea Volante Costa e Michelle Bruna Bilecki Mestre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720"/>
        </w:tabs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Resumo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Trataremos sobre os conceitos de conflito e de gestão de conflitos; serão abordados, ainda, os diferentes níveis de conflito e a importância do seu gerenciamento, assim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identificaremos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situações em que não se deve negociar.</w: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Afinal, o que é conflito?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40" w:before="24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Lewicki et 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conflito é 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720"/>
        </w:tabs>
        <w:spacing w:after="240" w:before="240" w:lineRule="auto"/>
        <w:ind w:left="2410" w:right="141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[...] um forte desacordo ou oposição de interesses, ideias, etc. e inclui a divergência de interesses ou a convicção de que as aspirações atuais das partes não são concretizáveis simultaneamente. Um conflito surge da interação de pessoas interdependentes que percebem a incompatibilidade e a interferência recíproca em relação à realização de seus objetivos.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Ainda que, por definição, o conflito esteja conectado ao confronto, nem todos os conflitos são desfavoráveis e/ou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negativos.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Ainda quando criança, por exemplo, entramos em conflito ao ter que optar por um brinquedo, entre obedecer e desobedecer, dividir um brinquedo etc. Lidamos com conflitos desde muito cedo, pois ele faz parte da natureza humana. Mas são justamente essas experiências que contribuem para nosso desenvolvimento e aprendizado.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 relações com o meio e o outro surgem as diferenças, que é a origem do conflito, não importando qual tipo seja. Podemos ter conflitos de interesses ou valores, e até mesmo de personalidade.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Entretanto, independentemente do tipo de conflito e/ou situação em que ele está inserido, precisamos aprender a lidar com ele e criar estratégias para obter resoluções harmoniosas, sobretudo, respeitando a si mesmo e ao próximo.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4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1405890</wp:posOffset>
            </wp:positionH>
            <wp:positionV relativeFrom="paragraph">
              <wp:posOffset>74930</wp:posOffset>
            </wp:positionV>
            <wp:extent cx="2031365" cy="3992245"/>
            <wp:effectExtent b="0" l="0" r="0" t="0"/>
            <wp:wrapSquare wrapText="bothSides" distB="0" distT="0" distL="114300" distR="114300"/>
            <wp:docPr descr="Uma imagem contendo placar, quarto&#10;&#10;Descrição gerada automaticamente" id="1" name="image1.jpg"/>
            <a:graphic>
              <a:graphicData uri="http://schemas.openxmlformats.org/drawingml/2006/picture">
                <pic:pic>
                  <pic:nvPicPr>
                    <pic:cNvPr descr="Uma imagem contendo placar, quarto&#10;&#10;Descrição gerada automaticament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3992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720"/>
        </w:tabs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20"/>
        </w:tabs>
        <w:spacing w:after="240" w:before="240" w:line="360" w:lineRule="auto"/>
        <w:ind w:firstLine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1.1. Gerindo um conflito (PINTEREST, 2020) 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20"/>
        </w:tabs>
        <w:spacing w:after="240" w:before="240"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ambiente corporativo, é comum lidar com as diferenças e, diversas vezes, elas se tornam conflitos. Por isso, quanto mais conhecermos a nós mesmos, o assunto e a situação, seremos capazes de refletir sobre antes de agir, assim evitando conflitos desnecessários.</w:t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1.2. Os níveis de conflito e qual a importância de geri-lo.</w:t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Abordaremos os quatros níveis mais presentes nos conflitos, são eles: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Conflito intrapessoal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É conflito em nossa mente, no nosso eu. As origens são diversas, tais como: pensamentos, sentimentos, discrepância de ideias e/ou valores, estímulo etc. Exemplos: desejamos comer algo, mas sabemos que aquilo é calórico. Divergimos de uma opinião, mas ao expô-la poderíamos gerar desconforto.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Esse nível de conflito é muito comum, já que na hora de nos relacionarmos não nos dissociamos. Todas as relações são pautadas naquilo que somos e acreditamos e quando nos deparamos com ideias disparates, gera-se o conflito.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Conflito interpessoal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Esse nível de conflito dá-se entre as pessoas e abrange todas as relações humanas. E é pensando nesse tipo de conflito que esse estudo propõe a negociação. Talvez ao ler a palavra negociação você pense em compra e venda, já que socialmente denota-se essa utilização. No entanto, desde muito cedo nós negociamos quando lidamos com algo que gostaríamos que fosse diferente, por exemplo: quando você era criança sua mãe dizia “vá tomar banho” e você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negociava “só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mais um pouquinho, mãe”. Sem percebermos nós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geríamos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ou não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nossos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conflitos buscando uma solução para aquele problema.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conflito intragrupo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conflito que acontece em um grupo é o terceiro nível, ele decorre nos diversos âmbitos da sociedade: trabalho, comunidades, família, amigos etc. Nesse ponto é fundamental observar e averiguar de que maneira os conflitos interferem no posicionamento do grupo. Esse olhar minucioso fará diferença nos resultados,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pois é a partir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dele que devemos propor alternativas nas tomadas de decisões.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conflito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intergrupo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Aqui temos o envolvimento de muitas pessoas, por isso esse quarto nível é o mais complicado, não só pelo número de pessoas, mas também pelas variadas intervenções cabíveis. Pelo fato de as negociações serem mais problemáticas, devemos considerar todas as vertentes ao negociar, como: organizações, grupos étnicos, nações, famílias etc. Além disso, ouvir todas as partes para que a interpretação não seja equivocada contribui para uma resolução justa.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4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1.3. A gestão eficiente de conflitos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gestão de conflitos nada mais é do que a capacidade de reconhecer uma situação conflituosa e buscar, da melhor maneira possível, resolvê-la com a máxima possibilidade de acordo entre ambas as partes. Para isso, existem diversas ferramentas de análise e resolução de conflitos. </w:t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Segundo Chiavenato (2004), a administração de conflitos pode seguir as 3 abordagens abaixo:</w:t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Abordagem estrutural: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conflito baseia-se nas percepções de ambos oponentes; assim, ambos disputam pelas mesmas condições de diferenciação, ou pelos recursos limitados e escassos, ou ainda, por conta da interdependência existente entre ambos. A resolução, nesse caso, pode ser obtida pela ação dos gestores sobre algum destes elementos. </w:t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Abordagem de processo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nesta abordagem, o acordo é resultado de uma mudança na maneira de se conduzir o processo do conflito; e pode ser conduzida de três formas: 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desativação do conflito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quando uma das partes decide-se pela cooperação, buscando o acordo;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reunião de confrontação entre as partes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em que ocorre a acareação de ambas as partes para que seus motivos sejam expostos e o acordo, facilitado; ou 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colaboração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ocorre, em geral, depois das etapas anteriores, com ambos abrindo mão, em parte de suas vantagens para que possa ser construído um acordo vantajoso para ambos, no formato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ganha-ganha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Abordagem mista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é aquela que se utiliza de recursos das duas abordagens anteriores. Em geral, esta abordagem é bastante eficaz, embora seja utilizada especialmente em acordos mais complexos. Por este motivo, em geral, é importante que haja a criação de integradores, que consistem em terceiras partes dentro da organização, de forma que sejam neutras em relação às partes conflitantes.</w:t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1.4. Quando você não deve negociar</w:t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Há situações, porém, em que a negociação não é recomendada. Nestes casos, é importante que a comunicação entre ambas as partes seja clara e firme, para que não haja mal-entendidos que possam alavancar desavenças. Segundo Levinson et al (apud Lewicki et al, 2014, p. 8), são elas: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você pode perder o que tem;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você não tem alternativas;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as demandas não são éticas;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você não tem interesse no desfecho da negociação;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você não tem tempo;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a outra parte age de má-fé;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a espera melhora a situação;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4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você não está preparado.</w:t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1.5. Referências</w:t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LEWICKI, D.; SAUNDERS,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M.; BARRY,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B.; ROY, J.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Fundamentos de negociação/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tradução: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Félix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Nonnenmacher. 5. ed. Porto Alegre: AMGH, 2014.</w:t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CHIAVENATO, Idalberto.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Gestão de pessoas: e o novo papel dos recursos humanos na organização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2. ed. Rio de Janeiro: Elsevier, 2004, p. 415-427.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tabs>
        <w:tab w:val="left" w:leader="none" w:pos="720"/>
      </w:tabs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tabs>
        <w:tab w:val="left" w:leader="none" w:pos="720"/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pageBreakBefore w:val="0"/>
      <w:tabs>
        <w:tab w:val="left" w:leader="none" w:pos="720"/>
        <w:tab w:val="right" w:leader="none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br w:type="textWrapping"/>
      <w:t xml:space="preserve">SOFT SKILLS</w:t>
    </w: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4763</wp:posOffset>
          </wp:positionH>
          <wp:positionV relativeFrom="page">
            <wp:posOffset>4763</wp:posOffset>
          </wp:positionV>
          <wp:extent cx="7534275" cy="10668000"/>
          <wp:effectExtent b="0" l="0" r="0" t="0"/>
          <wp:wrapTopAndBottom distB="0" distT="0"/>
          <wp:docPr id="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