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1A08300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49816993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3D26F64B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00242977" w:rsidR="008C0AD7" w:rsidRPr="001864CD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горнолыжного курорта «</w:t>
      </w:r>
      <w:proofErr w:type="spellStart"/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Игора</w:t>
      </w:r>
      <w:proofErr w:type="spellEnd"/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»</w:t>
      </w:r>
    </w:p>
    <w:p w14:paraId="1051935D" w14:textId="4D28F2D5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1321A7EF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6CFE00EB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1864CD">
        <w:rPr>
          <w:color w:val="000000"/>
        </w:rPr>
        <w:t xml:space="preserve"> точки проката </w:t>
      </w:r>
      <w:r w:rsidR="001864CD">
        <w:rPr>
          <w:color w:val="000000"/>
        </w:rPr>
        <w:t>горнолыжного курорта «Игора»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864CD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2021-12-10T01:49:00Z</dcterms:created>
  <dcterms:modified xsi:type="dcterms:W3CDTF">2022-01-16T14:18:00Z</dcterms:modified>
</cp:coreProperties>
</file>