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иль таблицы 2"/>
        <w:jc w:val="center"/>
      </w:pPr>
      <w:r>
        <w:rPr>
          <w:rtl w:val="0"/>
        </w:rPr>
        <w:t>АКТ ПРИЕМКИ ОКА</w:t>
      </w:r>
      <w:r>
        <w:rPr>
          <w:rtl w:val="0"/>
        </w:rPr>
        <w:t xml:space="preserve"> ЗАННЫХ УСЛУГ</w:t>
      </w:r>
    </w:p>
    <w:tbl>
      <w:tblPr>
        <w:tblW w:w="1037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461"/>
        <w:gridCol w:w="4916"/>
      </w:tblGrid>
      <w:tr>
        <w:tblPrEx>
          <w:shd w:val="clear" w:color="auto" w:fill="cadfff"/>
        </w:tblPrEx>
        <w:trPr>
          <w:trHeight w:val="239" w:hRule="atLeast"/>
        </w:trPr>
        <w:tc>
          <w:tcPr>
            <w:tcW w:type="dxa" w:w="54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sz w:val="18"/>
                <w:szCs w:val="18"/>
                <w:shd w:val="nil" w:color="auto" w:fill="auto"/>
                <w:rtl w:val="0"/>
              </w:rPr>
              <w:t>г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 xml:space="preserve">Москва </w:t>
            </w:r>
          </w:p>
        </w:tc>
        <w:tc>
          <w:tcPr>
            <w:tcW w:type="dxa" w:w="49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 xml:space="preserve">сентября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2024 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>г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Стиль таблицы 2"/>
        <w:jc w:val="center"/>
      </w:pPr>
    </w:p>
    <w:p>
      <w:pPr>
        <w:pStyle w:val="Стиль таблицы 2"/>
      </w:pPr>
    </w:p>
    <w:p>
      <w:pPr>
        <w:pStyle w:val="Основной текст"/>
        <w:keepLines w:val="1"/>
        <w:bidi w:val="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ascii="Helvetica Neue" w:hAnsi="Helvetica Neue"/>
          <w:sz w:val="18"/>
          <w:szCs w:val="18"/>
          <w:rtl w:val="0"/>
        </w:rPr>
        <w:t xml:space="preserve">   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Общество с ограниченной ответственностью «ТЕЛЕКОМПРОЕКТ» в лице директора Зименкова Павла Валерьевича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действующего на основании Устава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именуемое в дальнейшем «Заказчик»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 одной стороны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и гражданин Российской Федерации Кочергин Алексей Игоревич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являющейся плательщиком налога на профессиональный доход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именуемая в дальнейшем «Исполнитель»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с другой стороны</w:t>
      </w:r>
      <w:r>
        <w:rPr>
          <w:rFonts w:ascii="Helvetica Neue" w:hAnsi="Helvetica Neue"/>
          <w:sz w:val="18"/>
          <w:szCs w:val="18"/>
          <w:rtl w:val="0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составили настоящий Акт приемки оказанных услуг </w:t>
      </w:r>
      <w:r>
        <w:rPr>
          <w:rFonts w:ascii="Helvetica Neue" w:hAnsi="Helvetica Neue"/>
          <w:sz w:val="18"/>
          <w:szCs w:val="18"/>
          <w:rtl w:val="0"/>
        </w:rPr>
        <w:t>(</w:t>
      </w:r>
      <w:r>
        <w:rPr>
          <w:rFonts w:ascii="Helvetica Neue" w:hAnsi="Helvetica Neue" w:hint="default"/>
          <w:sz w:val="18"/>
          <w:szCs w:val="18"/>
          <w:rtl w:val="0"/>
        </w:rPr>
        <w:t xml:space="preserve">далее  </w:t>
      </w:r>
      <w:r>
        <w:rPr>
          <w:rFonts w:ascii="Helvetica Neue" w:hAnsi="Helvetica Neue"/>
          <w:sz w:val="18"/>
          <w:szCs w:val="18"/>
          <w:rtl w:val="0"/>
        </w:rPr>
        <w:t xml:space="preserve">-  </w:t>
      </w:r>
      <w:r>
        <w:rPr>
          <w:rFonts w:ascii="Helvetica Neue" w:hAnsi="Helvetica Neue" w:hint="default"/>
          <w:sz w:val="18"/>
          <w:szCs w:val="18"/>
          <w:rtl w:val="0"/>
        </w:rPr>
        <w:t>Акт</w:t>
      </w:r>
      <w:r>
        <w:rPr>
          <w:rFonts w:ascii="Helvetica Neue" w:hAnsi="Helvetica Neue"/>
          <w:sz w:val="18"/>
          <w:szCs w:val="18"/>
          <w:rtl w:val="0"/>
        </w:rPr>
        <w:t xml:space="preserve">)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по Договору об оказании услуг от </w:t>
      </w:r>
      <w:r>
        <w:rPr>
          <w:rFonts w:ascii="Helvetica Neue" w:hAnsi="Helvetica Neue"/>
          <w:sz w:val="18"/>
          <w:szCs w:val="18"/>
          <w:rtl w:val="0"/>
        </w:rPr>
        <w:t>01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8473069</wp:posOffset>
                </wp:positionV>
                <wp:extent cx="6129021" cy="164782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021" cy="164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fff"/>
                              <w:tblLayout w:type="fixed"/>
                            </w:tblPr>
                            <w:tblGrid>
                              <w:gridCol w:w="4815"/>
                              <w:gridCol w:w="4817"/>
                            </w:tblGrid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655" w:hRule="exac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Кочергин А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  <w:rPr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     Директор ООО «ТЕЛЕКОМПРОЕКТ»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Зименков П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В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498" w:hRule="exac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215" w:hRule="exac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______________  /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Кочергин А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______________  /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П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В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Зименков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67" w:hRule="exac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По умолчанию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</w:rPr>
                                    <w:t>М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</w:rPr>
                                    <w:t>П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667.2pt;width:482.6pt;height:129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fff"/>
                        <w:tblLayout w:type="fixed"/>
                      </w:tblPr>
                      <w:tblGrid>
                        <w:gridCol w:w="4815"/>
                        <w:gridCol w:w="4817"/>
                      </w:tblGrid>
                      <w:tr>
                        <w:tblPrEx>
                          <w:shd w:val="clear" w:color="auto" w:fill="cadfff"/>
                        </w:tblPrEx>
                        <w:trPr>
                          <w:trHeight w:val="655" w:hRule="exact"/>
                        </w:trPr>
                        <w:tc>
                          <w:tcPr>
                            <w:tcW w:type="dxa" w:w="48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Кочергин А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right"/>
                              <w:rPr>
                                <w:shd w:val="nil" w:color="auto" w:fill="auto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     Директор ООО «ТЕЛЕКОМПРОЕКТ»</w:t>
                            </w:r>
                          </w:p>
                          <w:p>
                            <w:pPr>
                              <w:pStyle w:val="Стиль таблицы 2"/>
                              <w:bidi w:val="0"/>
                              <w:ind w:left="0" w:right="0" w:firstLine="0"/>
                              <w:jc w:val="right"/>
                              <w:rPr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Стиль таблицы 2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Зименков П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В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. 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498" w:hRule="exact"/>
                        </w:trPr>
                        <w:tc>
                          <w:tcPr>
                            <w:tcW w:type="dxa" w:w="48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215" w:hRule="exact"/>
                        </w:trPr>
                        <w:tc>
                          <w:tcPr>
                            <w:tcW w:type="dxa" w:w="48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______________  /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Кочергин А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______________  /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П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В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Зименков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/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67" w:hRule="exact"/>
                        </w:trPr>
                        <w:tc>
                          <w:tcPr>
                            <w:tcW w:type="dxa" w:w="48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1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По умолчанию"/>
                            </w:pPr>
                            <w:r>
                              <w:rPr>
                                <w:sz w:val="18"/>
                                <w:szCs w:val="18"/>
                                <w:shd w:val="nil" w:color="auto" w:fill="auto"/>
                                <w:rtl w:val="0"/>
                              </w:rPr>
                              <w:t>М</w:t>
                            </w:r>
                            <w:r>
                              <w:rPr>
                                <w:sz w:val="18"/>
                                <w:szCs w:val="18"/>
                                <w:shd w:val="nil" w:color="auto" w:fill="aut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shd w:val="nil" w:color="auto" w:fill="auto"/>
                                <w:rtl w:val="0"/>
                              </w:rPr>
                              <w:t>П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ge">
                  <wp:posOffset>2846704</wp:posOffset>
                </wp:positionV>
                <wp:extent cx="5660512" cy="3615589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12" cy="3615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1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fff"/>
                              <w:tblLayout w:type="fixed"/>
                            </w:tblPr>
                            <w:tblGrid>
                              <w:gridCol w:w="226"/>
                              <w:gridCol w:w="4051"/>
                              <w:gridCol w:w="1211"/>
                              <w:gridCol w:w="1216"/>
                              <w:gridCol w:w="1564"/>
                              <w:gridCol w:w="1342"/>
                            </w:tblGrid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1046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Наименование услуги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Еденица измерения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Количество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Цена за единицу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руб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Стоимость услуг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руб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675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Обновление и перенастройка биллинговой системы учёта телефонного трафика абонентов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абоненты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26400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455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Обновление и перенастройка маршрутизации за одно правило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756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Настройка разграничения уровня доступа абонентов в ТСОП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разграничение доступа по группам пользователей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37600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235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Переадресация номерной емкости в ТСОП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29000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470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Перепрошивка и обновление на АТС рекомендованных производителем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50000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455" w:hRule="atLeast"/>
                              </w:trPr>
                              <w:tc>
                                <w:tcPr>
                                  <w:tcW w:type="dxa" w:w="22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Регламентное удалённое обслуживание системы учета телефонного трафика</w:t>
                                  </w:r>
                                </w:p>
                              </w:tc>
                              <w:tc>
                                <w:tcPr>
                                  <w:tcW w:type="dxa" w:w="1210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216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563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type="dxa" w:w="8268"/>
                                  <w:gridSpan w:val="5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both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Итого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dotted" w:color="000000" w:sz="8" w:space="0" w:shadow="0" w:frame="0"/>
                                    <w:left w:val="dotted" w:color="000000" w:sz="8" w:space="0" w:shadow="0" w:frame="0"/>
                                    <w:bottom w:val="dotted" w:color="000000" w:sz="8" w:space="0" w:shadow="0" w:frame="0"/>
                                    <w:right w:val="dotted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220000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7.2pt;margin-top:224.1pt;width:445.7pt;height:284.7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1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fff"/>
                        <w:tblLayout w:type="fixed"/>
                      </w:tblPr>
                      <w:tblGrid>
                        <w:gridCol w:w="226"/>
                        <w:gridCol w:w="4051"/>
                        <w:gridCol w:w="1211"/>
                        <w:gridCol w:w="1216"/>
                        <w:gridCol w:w="1564"/>
                        <w:gridCol w:w="1342"/>
                      </w:tblGrid>
                      <w:tr>
                        <w:tblPrEx>
                          <w:shd w:val="clear" w:color="auto" w:fill="cadfff"/>
                        </w:tblPrEx>
                        <w:trPr>
                          <w:trHeight w:val="1046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Наименование услуги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Еденица измерения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Количество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Цена за единицу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руб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Стоимость услуг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руб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675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Обновление и перенастройка биллинговой системы учёта телефонного трафика абонентов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абоненты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26400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455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Обновление и перенастройка маршрутизации за одно правило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756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Настройка разграничения уровня доступа абонентов в ТСОП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разграничение доступа по группам пользователей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37600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235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Переадресация номерной емкости в ТСОП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29000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470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Перепрошивка и обновление на АТС рекомендованных производителем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50000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455" w:hRule="atLeast"/>
                        </w:trPr>
                        <w:tc>
                          <w:tcPr>
                            <w:tcW w:type="dxa" w:w="22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Регламентное удалённое обслуживание системы учета телефонного трафика</w:t>
                            </w:r>
                          </w:p>
                        </w:tc>
                        <w:tc>
                          <w:tcPr>
                            <w:tcW w:type="dxa" w:w="1210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216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563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302" w:hRule="atLeast"/>
                        </w:trPr>
                        <w:tc>
                          <w:tcPr>
                            <w:tcW w:type="dxa" w:w="8268"/>
                            <w:gridSpan w:val="5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both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Итого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dotted" w:color="000000" w:sz="8" w:space="0" w:shadow="0" w:frame="0"/>
                              <w:left w:val="dotted" w:color="000000" w:sz="8" w:space="0" w:shadow="0" w:frame="0"/>
                              <w:bottom w:val="dotted" w:color="000000" w:sz="8" w:space="0" w:shadow="0" w:frame="0"/>
                              <w:right w:val="dotted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220000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sz w:val="18"/>
          <w:szCs w:val="18"/>
          <w:rtl w:val="0"/>
        </w:rPr>
        <w:t xml:space="preserve">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июля 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2024 </w:t>
      </w:r>
      <w:r>
        <w:rPr>
          <w:rFonts w:ascii="Helvetica Neue" w:hAnsi="Helvetica Neue" w:hint="default"/>
          <w:sz w:val="18"/>
          <w:szCs w:val="18"/>
          <w:rtl w:val="0"/>
        </w:rPr>
        <w:t xml:space="preserve">года № </w:t>
      </w:r>
      <w:r>
        <w:rPr>
          <w:rFonts w:ascii="Helvetica Neue" w:hAnsi="Helvetica Neue"/>
          <w:sz w:val="18"/>
          <w:szCs w:val="18"/>
          <w:rtl w:val="0"/>
          <w:lang w:val="en-US"/>
        </w:rPr>
        <w:t>3-07/2024 (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далее — Договор</w:t>
      </w:r>
      <w:r>
        <w:rPr>
          <w:rFonts w:ascii="Helvetica Neue" w:hAnsi="Helvetica Neue"/>
          <w:sz w:val="18"/>
          <w:szCs w:val="18"/>
          <w:rtl w:val="0"/>
        </w:rPr>
        <w:t xml:space="preserve">)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о нижеследующем</w:t>
      </w:r>
      <w:r>
        <w:rPr>
          <w:rFonts w:ascii="Helvetica Neue" w:hAnsi="Helvetica Neue"/>
          <w:sz w:val="18"/>
          <w:szCs w:val="18"/>
          <w:rtl w:val="0"/>
        </w:rPr>
        <w:t>.</w:t>
      </w:r>
    </w:p>
    <w:p>
      <w:pPr>
        <w:pStyle w:val="Основной текст"/>
        <w:keepLines w:val="1"/>
        <w:bidi w:val="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ascii="Helvetica Neue" w:hAnsi="Helvetica Neue"/>
          <w:sz w:val="18"/>
          <w:szCs w:val="18"/>
          <w:rtl w:val="0"/>
        </w:rPr>
        <w:t xml:space="preserve">1.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Во исполнение Договора Исполнитель в период с </w:t>
      </w:r>
      <w:r>
        <w:rPr>
          <w:rFonts w:ascii="Helvetica Neue" w:hAnsi="Helvetica Neue"/>
          <w:sz w:val="18"/>
          <w:szCs w:val="18"/>
          <w:rtl w:val="0"/>
        </w:rPr>
        <w:t xml:space="preserve">01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 xml:space="preserve">июля 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2024 </w:t>
      </w:r>
      <w:r>
        <w:rPr>
          <w:rFonts w:ascii="Helvetica Neue" w:hAnsi="Helvetica Neue" w:hint="default"/>
          <w:sz w:val="18"/>
          <w:szCs w:val="18"/>
          <w:rtl w:val="0"/>
        </w:rPr>
        <w:t xml:space="preserve">года по </w:t>
      </w:r>
      <w:r>
        <w:rPr>
          <w:rFonts w:ascii="Helvetica Neue" w:hAnsi="Helvetica Neue"/>
          <w:sz w:val="18"/>
          <w:szCs w:val="18"/>
          <w:rtl w:val="0"/>
        </w:rPr>
        <w:t xml:space="preserve">25 </w:t>
      </w:r>
      <w:r>
        <w:rPr>
          <w:rFonts w:ascii="Helvetica Neue" w:hAnsi="Helvetica Neue" w:hint="default"/>
          <w:sz w:val="18"/>
          <w:szCs w:val="18"/>
          <w:rtl w:val="0"/>
        </w:rPr>
        <w:t xml:space="preserve">сентября 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2024 </w:t>
      </w:r>
      <w:r>
        <w:rPr>
          <w:rFonts w:ascii="Helvetica Neue" w:hAnsi="Helvetica Neue" w:hint="default"/>
          <w:sz w:val="18"/>
          <w:szCs w:val="18"/>
          <w:rtl w:val="0"/>
          <w:lang w:val="ru-RU"/>
        </w:rPr>
        <w:t>года оказал Заказчику следующие услуги по удалённой настройке оборудования и программного обеспечения</w:t>
      </w:r>
      <w:r>
        <w:rPr>
          <w:rFonts w:ascii="Helvetica Neue" w:hAnsi="Helvetica Neue"/>
          <w:sz w:val="18"/>
          <w:szCs w:val="18"/>
          <w:rtl w:val="0"/>
        </w:rPr>
        <w:t>.</w:t>
      </w:r>
    </w:p>
    <w:p>
      <w:pPr>
        <w:pStyle w:val="Стиль таблицы 2"/>
        <w:jc w:val="center"/>
      </w:pPr>
    </w:p>
    <w:p>
      <w:pPr>
        <w:pStyle w:val="Стиль таблицы 2"/>
        <w:jc w:val="right"/>
      </w:pPr>
    </w:p>
    <w:p>
      <w:pPr>
        <w:pStyle w:val="Стиль таблицы 2"/>
        <w:jc w:val="right"/>
        <w:rPr>
          <w:lang w:val="en-US"/>
        </w:rPr>
      </w:pPr>
      <w:r>
        <w:rPr>
          <w:rtl w:val="0"/>
          <w:lang w:val="en-US"/>
        </w:rPr>
        <w:t xml:space="preserve">${summStringWithKop} </w:t>
      </w:r>
    </w:p>
    <w:p>
      <w:pPr>
        <w:pStyle w:val="Стиль таблицы 2"/>
        <w:jc w:val="right"/>
        <w:rPr>
          <w:lang w:val="en-US"/>
        </w:rPr>
      </w:pPr>
    </w:p>
    <w:p>
      <w:pPr>
        <w:pStyle w:val="Стиль таблицы 2"/>
        <w:jc w:val="right"/>
        <w:rPr>
          <w:lang w:val="en-US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  <w:lang w:val="en-US"/>
        </w:rPr>
      </w:pPr>
      <w:r>
        <w:rPr>
          <w:rFonts w:ascii="Helvetica Neue" w:hAnsi="Helvetica Neue"/>
          <w:sz w:val="18"/>
          <w:szCs w:val="18"/>
          <w:rtl w:val="0"/>
          <w:lang w:val="en-US"/>
        </w:rPr>
        <w:t xml:space="preserve">2. 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Вышеперечисленные услуги выполнены полностью и в срок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Претензии по объёму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качеству и срокам оказания услуг отсутствуют</w:t>
      </w:r>
      <w:r>
        <w:rPr>
          <w:rFonts w:ascii="Helvetica Neue" w:hAnsi="Helvetica Neue"/>
          <w:sz w:val="18"/>
          <w:szCs w:val="18"/>
          <w:rtl w:val="0"/>
          <w:lang w:val="en-US"/>
        </w:rPr>
        <w:t>.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  <w:lang w:val="en-US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  <w:lang w:val="en-US"/>
        </w:rPr>
      </w:pPr>
      <w:r>
        <w:rPr>
          <w:rFonts w:ascii="Helvetica Neue" w:hAnsi="Helvetica Neue"/>
          <w:sz w:val="18"/>
          <w:szCs w:val="18"/>
          <w:rtl w:val="0"/>
          <w:lang w:val="en-US"/>
        </w:rPr>
        <w:t xml:space="preserve">3.  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Настоящий Акт составлен в двух экземплярах</w:t>
      </w:r>
      <w:r>
        <w:rPr>
          <w:rFonts w:ascii="Helvetica Neue" w:hAnsi="Helvetica Neue"/>
          <w:sz w:val="18"/>
          <w:szCs w:val="18"/>
          <w:rtl w:val="0"/>
          <w:lang w:val="en-US"/>
        </w:rPr>
        <w:t xml:space="preserve">, 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по одному для Исполнителя и Заказчика</w:t>
      </w:r>
      <w:r>
        <w:rPr>
          <w:rFonts w:ascii="Helvetica Neue" w:hAnsi="Helvetica Neue"/>
          <w:sz w:val="18"/>
          <w:szCs w:val="18"/>
          <w:rtl w:val="0"/>
          <w:lang w:val="en-US"/>
        </w:rPr>
        <w:t>.</w:t>
      </w:r>
    </w:p>
    <w:p>
      <w:pPr>
        <w:pStyle w:val="Стиль таблицы 2"/>
        <w:jc w:val="right"/>
        <w:rPr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Стиль таблицы 2"/>
        <w:jc w:val="center"/>
      </w:pPr>
    </w:p>
    <w:p>
      <w:pPr>
        <w:pStyle w:val="Стиль таблицы 2"/>
        <w:jc w:val="center"/>
      </w:pPr>
    </w:p>
    <w:p>
      <w:pPr>
        <w:pStyle w:val="Стиль таблицы 2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