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EE7AC6" w14:textId="6EFBEAF1" w:rsidR="00EF271B" w:rsidRPr="00EF271B" w:rsidRDefault="00BB6983" w:rsidP="00BB6983">
      <w:pPr>
        <w:pStyle w:val="Titre1"/>
        <w:keepNext w:val="0"/>
        <w:keepLines w:val="0"/>
        <w:numPr>
          <w:ilvl w:val="0"/>
          <w:numId w:val="10"/>
        </w:numPr>
        <w:shd w:val="clear" w:color="auto" w:fill="FFFFFF"/>
        <w:spacing w:before="225" w:after="225"/>
        <w:rPr>
          <w:rFonts w:ascii="Arial" w:eastAsia="Times New Roman" w:hAnsi="Arial" w:cs="Arial"/>
          <w:color w:val="000000" w:themeColor="text1"/>
          <w:kern w:val="36"/>
          <w:sz w:val="41"/>
          <w:szCs w:val="41"/>
          <w:lang w:val="fr-BE"/>
        </w:rPr>
      </w:pPr>
      <w:r>
        <w:rPr>
          <w:rFonts w:ascii="Arial" w:eastAsia="Times New Roman" w:hAnsi="Arial" w:cs="Arial"/>
          <w:color w:val="000000" w:themeColor="text1"/>
          <w:kern w:val="36"/>
          <w:sz w:val="41"/>
          <w:szCs w:val="41"/>
          <w:lang w:val="fr-BE"/>
        </w:rPr>
        <w:t xml:space="preserve"> </w:t>
      </w:r>
      <w:bookmarkStart w:id="0" w:name="_GoBack"/>
      <w:bookmarkEnd w:id="0"/>
      <w:r w:rsidR="00EF271B" w:rsidRPr="00EF271B">
        <w:rPr>
          <w:rFonts w:ascii="Arial" w:eastAsia="Times New Roman" w:hAnsi="Arial" w:cs="Arial"/>
          <w:color w:val="000000" w:themeColor="text1"/>
          <w:kern w:val="36"/>
          <w:sz w:val="41"/>
          <w:szCs w:val="41"/>
          <w:lang w:val="fr-BE"/>
        </w:rPr>
        <w:t>Le licenciement pour motif personnel : les causes possibles</w:t>
      </w:r>
    </w:p>
    <w:p w14:paraId="3CE8B813" w14:textId="77777777" w:rsidR="00EF271B" w:rsidRPr="00F7471B" w:rsidRDefault="00EF271B" w:rsidP="00EF271B">
      <w:pPr>
        <w:shd w:val="clear" w:color="auto" w:fill="EEEEEE"/>
        <w:spacing w:line="346" w:lineRule="atLeast"/>
        <w:rPr>
          <w:rFonts w:ascii="Arial" w:eastAsia="Times New Roman" w:hAnsi="Arial" w:cs="Arial"/>
          <w:color w:val="000000" w:themeColor="text1"/>
          <w:sz w:val="32"/>
          <w:szCs w:val="32"/>
          <w:lang w:val="fr-BE"/>
        </w:rPr>
      </w:pPr>
      <w:r w:rsidRPr="00F7471B">
        <w:rPr>
          <w:rFonts w:ascii="Arial" w:eastAsia="Times New Roman" w:hAnsi="Arial" w:cs="Arial"/>
          <w:b/>
          <w:bCs/>
          <w:color w:val="000000" w:themeColor="text1"/>
          <w:sz w:val="32"/>
          <w:szCs w:val="32"/>
          <w:lang w:val="fr-BE"/>
        </w:rPr>
        <w:t>Synthèse</w:t>
      </w:r>
    </w:p>
    <w:p w14:paraId="46EA88F1" w14:textId="77777777" w:rsidR="00EF271B" w:rsidRPr="006B09A0" w:rsidRDefault="00EF271B" w:rsidP="00EF271B">
      <w:pPr>
        <w:shd w:val="clear" w:color="auto" w:fill="FFFFFF"/>
        <w:spacing w:after="225" w:line="346" w:lineRule="atLeast"/>
        <w:rPr>
          <w:rFonts w:ascii="Arial" w:hAnsi="Arial" w:cs="Arial"/>
          <w:color w:val="000000" w:themeColor="text1"/>
          <w:lang w:val="fr-BE"/>
        </w:rPr>
      </w:pPr>
      <w:r w:rsidRPr="006B09A0">
        <w:rPr>
          <w:rFonts w:ascii="Arial" w:hAnsi="Arial" w:cs="Arial"/>
          <w:color w:val="000000" w:themeColor="text1"/>
          <w:lang w:val="fr-BE"/>
        </w:rPr>
        <w:t>Contrairement au licenciement pour motif d’ordre économique, le licenciement d’ordre personnel repose sur la personne du salarié : son comportement (faute…), une insuffisance professionnelle… Pour être valable, la cause du licenciement doit être à la fois réelle et sérieuse.</w:t>
      </w:r>
    </w:p>
    <w:p w14:paraId="2E946FCD" w14:textId="77777777" w:rsidR="00EF271B" w:rsidRPr="006B09A0" w:rsidRDefault="00EF271B" w:rsidP="00EF271B">
      <w:pPr>
        <w:shd w:val="clear" w:color="auto" w:fill="FFFFFF"/>
        <w:spacing w:after="225" w:line="346" w:lineRule="atLeast"/>
        <w:rPr>
          <w:rFonts w:ascii="Arial" w:hAnsi="Arial" w:cs="Arial"/>
          <w:color w:val="000000" w:themeColor="text1"/>
          <w:lang w:val="fr-BE"/>
        </w:rPr>
      </w:pPr>
      <w:r w:rsidRPr="006B09A0">
        <w:rPr>
          <w:rFonts w:ascii="Arial" w:hAnsi="Arial" w:cs="Arial"/>
          <w:color w:val="000000" w:themeColor="text1"/>
          <w:lang w:val="fr-BE"/>
        </w:rPr>
        <w:t>A défaut, le licenciement est qualifié d’injustifié ou d’abusif.</w:t>
      </w:r>
    </w:p>
    <w:p w14:paraId="0F91D4AE" w14:textId="77777777" w:rsidR="00EF271B" w:rsidRPr="00F7471B" w:rsidRDefault="00EF271B" w:rsidP="00EF271B">
      <w:pPr>
        <w:shd w:val="clear" w:color="auto" w:fill="EEEEEE"/>
        <w:spacing w:line="346" w:lineRule="atLeast"/>
        <w:rPr>
          <w:rFonts w:ascii="Arial" w:eastAsia="Times New Roman" w:hAnsi="Arial" w:cs="Arial"/>
          <w:color w:val="000000" w:themeColor="text1"/>
          <w:sz w:val="32"/>
          <w:szCs w:val="32"/>
          <w:lang w:val="fr-BE"/>
        </w:rPr>
      </w:pPr>
      <w:r w:rsidRPr="00F7471B">
        <w:rPr>
          <w:rFonts w:ascii="Arial" w:eastAsia="Times New Roman" w:hAnsi="Arial" w:cs="Arial"/>
          <w:b/>
          <w:bCs/>
          <w:color w:val="000000" w:themeColor="text1"/>
          <w:sz w:val="32"/>
          <w:szCs w:val="32"/>
          <w:lang w:val="fr-BE"/>
        </w:rPr>
        <w:t>A savoir</w:t>
      </w:r>
    </w:p>
    <w:p w14:paraId="6898DC71" w14:textId="77777777" w:rsidR="00EF271B" w:rsidRPr="00F7471B" w:rsidRDefault="00EF271B" w:rsidP="00EF271B">
      <w:pPr>
        <w:shd w:val="clear" w:color="auto" w:fill="EEEEEE"/>
        <w:spacing w:before="75" w:line="346" w:lineRule="atLeast"/>
        <w:ind w:left="75" w:right="75"/>
        <w:rPr>
          <w:rFonts w:ascii="Arial" w:hAnsi="Arial" w:cs="Arial"/>
          <w:i/>
          <w:iCs/>
          <w:color w:val="000000" w:themeColor="text1"/>
          <w:lang w:val="fr-BE"/>
        </w:rPr>
      </w:pPr>
      <w:r w:rsidRPr="00F7471B">
        <w:rPr>
          <w:rFonts w:ascii="Arial" w:hAnsi="Arial" w:cs="Arial"/>
          <w:i/>
          <w:iCs/>
          <w:color w:val="000000" w:themeColor="text1"/>
          <w:lang w:val="fr-BE"/>
        </w:rPr>
        <w:t>Sous peine de nullité, aucun licenciement ne peut être fondé sur un motif discriminatoire (sexe, religion, opinions politiques et syndicales, appartenance à une race ou une ethnie…) ou en violation d’un droit du salarié (droit de grève, droit de saisir la justice).</w:t>
      </w:r>
    </w:p>
    <w:p w14:paraId="4B4DD4F5" w14:textId="77777777" w:rsidR="00EF271B" w:rsidRPr="00F7471B" w:rsidRDefault="00EF271B" w:rsidP="00EF271B">
      <w:pPr>
        <w:shd w:val="clear" w:color="auto" w:fill="FFFFFF"/>
        <w:spacing w:before="225" w:after="150"/>
        <w:outlineLvl w:val="1"/>
        <w:rPr>
          <w:rFonts w:ascii="Arial" w:eastAsia="Times New Roman" w:hAnsi="Arial" w:cs="Arial"/>
          <w:b/>
          <w:bCs/>
          <w:color w:val="000000" w:themeColor="text1"/>
          <w:lang w:val="fr-BE"/>
        </w:rPr>
      </w:pPr>
      <w:r w:rsidRPr="00F7471B">
        <w:rPr>
          <w:rFonts w:ascii="Arial" w:eastAsia="Times New Roman" w:hAnsi="Arial" w:cs="Arial"/>
          <w:b/>
          <w:bCs/>
          <w:color w:val="000000" w:themeColor="text1"/>
          <w:lang w:val="fr-BE"/>
        </w:rPr>
        <w:t>Sommaire</w:t>
      </w:r>
    </w:p>
    <w:p w14:paraId="03EFA927" w14:textId="1B4D4655" w:rsidR="00EF271B" w:rsidRPr="00F7471B" w:rsidRDefault="00EF271B" w:rsidP="00F7471B">
      <w:pPr>
        <w:pStyle w:val="Paragraphedeliste"/>
        <w:numPr>
          <w:ilvl w:val="0"/>
          <w:numId w:val="6"/>
        </w:numPr>
        <w:shd w:val="clear" w:color="auto" w:fill="FFFFFF"/>
        <w:spacing w:before="225" w:after="150"/>
        <w:outlineLvl w:val="1"/>
        <w:rPr>
          <w:rFonts w:ascii="Arial" w:eastAsia="Times New Roman" w:hAnsi="Arial" w:cs="Arial"/>
          <w:b/>
          <w:bCs/>
          <w:color w:val="000000" w:themeColor="text1"/>
          <w:lang w:val="fr-BE"/>
        </w:rPr>
      </w:pPr>
      <w:r w:rsidRPr="00F7471B">
        <w:rPr>
          <w:rFonts w:ascii="Arial" w:eastAsia="Times New Roman" w:hAnsi="Arial" w:cs="Arial"/>
          <w:b/>
          <w:bCs/>
          <w:color w:val="000000" w:themeColor="text1"/>
          <w:lang w:val="fr-BE"/>
        </w:rPr>
        <w:t>Qu’est ce qu’une cause réelle et sérieuse ?</w:t>
      </w:r>
    </w:p>
    <w:p w14:paraId="1C38F119" w14:textId="7E8FEDF0" w:rsidR="00EF271B" w:rsidRPr="00F7471B" w:rsidRDefault="00EF271B" w:rsidP="00F7471B">
      <w:pPr>
        <w:pStyle w:val="Paragraphedeliste"/>
        <w:numPr>
          <w:ilvl w:val="0"/>
          <w:numId w:val="6"/>
        </w:numPr>
        <w:shd w:val="clear" w:color="auto" w:fill="FFFFFF"/>
        <w:spacing w:before="225" w:after="150"/>
        <w:outlineLvl w:val="1"/>
        <w:rPr>
          <w:rFonts w:ascii="Arial" w:eastAsia="Times New Roman" w:hAnsi="Arial" w:cs="Arial"/>
          <w:b/>
          <w:bCs/>
          <w:color w:val="000000" w:themeColor="text1"/>
          <w:lang w:val="fr-BE"/>
        </w:rPr>
      </w:pPr>
      <w:r w:rsidRPr="00F7471B">
        <w:rPr>
          <w:rFonts w:ascii="Arial" w:eastAsia="Times New Roman" w:hAnsi="Arial" w:cs="Arial"/>
          <w:b/>
          <w:bCs/>
          <w:color w:val="000000" w:themeColor="text1"/>
          <w:lang w:val="fr-BE"/>
        </w:rPr>
        <w:t>Qu’est ce qu’un motif personnel ?</w:t>
      </w:r>
    </w:p>
    <w:p w14:paraId="4F85FAD6" w14:textId="72A7FFD4" w:rsidR="00EF271B" w:rsidRPr="00F7471B" w:rsidRDefault="00EF271B" w:rsidP="00F7471B">
      <w:pPr>
        <w:pStyle w:val="Paragraphedeliste"/>
        <w:numPr>
          <w:ilvl w:val="0"/>
          <w:numId w:val="6"/>
        </w:numPr>
        <w:shd w:val="clear" w:color="auto" w:fill="FFFFFF"/>
        <w:spacing w:before="225" w:after="150"/>
        <w:outlineLvl w:val="1"/>
        <w:rPr>
          <w:rFonts w:ascii="Arial" w:eastAsia="Times New Roman" w:hAnsi="Arial" w:cs="Arial"/>
          <w:b/>
          <w:bCs/>
          <w:color w:val="000000" w:themeColor="text1"/>
          <w:lang w:val="fr-BE"/>
        </w:rPr>
      </w:pPr>
      <w:r w:rsidRPr="00F7471B">
        <w:rPr>
          <w:rFonts w:ascii="Arial" w:eastAsia="Times New Roman" w:hAnsi="Arial" w:cs="Arial"/>
          <w:b/>
          <w:bCs/>
          <w:color w:val="000000" w:themeColor="text1"/>
          <w:lang w:val="fr-BE"/>
        </w:rPr>
        <w:t>Existe-t-il des motifs de licenciement interdits ?</w:t>
      </w:r>
    </w:p>
    <w:p w14:paraId="61F4CAC4" w14:textId="77777777" w:rsidR="00EF271B" w:rsidRPr="00EF271B" w:rsidRDefault="00EF271B" w:rsidP="00EF271B">
      <w:pPr>
        <w:shd w:val="clear" w:color="auto" w:fill="FFFFFF"/>
        <w:spacing w:before="225" w:after="150"/>
        <w:outlineLvl w:val="1"/>
        <w:rPr>
          <w:rFonts w:ascii="Arial" w:eastAsia="Times New Roman" w:hAnsi="Arial" w:cs="Arial"/>
          <w:b/>
          <w:bCs/>
          <w:color w:val="000000" w:themeColor="text1"/>
          <w:sz w:val="16"/>
          <w:szCs w:val="16"/>
          <w:lang w:val="fr-BE"/>
        </w:rPr>
      </w:pPr>
    </w:p>
    <w:p w14:paraId="0713B80B" w14:textId="77777777" w:rsidR="00EF271B" w:rsidRPr="00716F27" w:rsidRDefault="00EF271B" w:rsidP="00EF271B">
      <w:pPr>
        <w:shd w:val="clear" w:color="auto" w:fill="FFFFFF"/>
        <w:spacing w:before="225" w:after="150"/>
        <w:outlineLvl w:val="1"/>
        <w:rPr>
          <w:rFonts w:ascii="Arial" w:eastAsia="Times New Roman" w:hAnsi="Arial" w:cs="Arial"/>
          <w:b/>
          <w:bCs/>
          <w:color w:val="000000" w:themeColor="text1"/>
          <w:lang w:val="fr-BE"/>
        </w:rPr>
      </w:pPr>
      <w:r w:rsidRPr="00716F27">
        <w:rPr>
          <w:rFonts w:ascii="Arial" w:eastAsia="Times New Roman" w:hAnsi="Arial" w:cs="Arial"/>
          <w:b/>
          <w:bCs/>
          <w:color w:val="000000" w:themeColor="text1"/>
          <w:lang w:val="fr-BE"/>
        </w:rPr>
        <w:t>Fiche détaillée</w:t>
      </w:r>
    </w:p>
    <w:p w14:paraId="1A88349F" w14:textId="77777777" w:rsidR="00EF271B" w:rsidRPr="00EF271B" w:rsidRDefault="00EF271B" w:rsidP="00EF271B">
      <w:pPr>
        <w:shd w:val="clear" w:color="auto" w:fill="FFFFFF"/>
        <w:spacing w:before="225" w:after="150"/>
        <w:outlineLvl w:val="1"/>
        <w:rPr>
          <w:rFonts w:ascii="Arial" w:eastAsia="Times New Roman" w:hAnsi="Arial" w:cs="Arial"/>
          <w:b/>
          <w:bCs/>
          <w:color w:val="000000" w:themeColor="text1"/>
          <w:sz w:val="29"/>
          <w:szCs w:val="29"/>
          <w:lang w:val="fr-BE"/>
        </w:rPr>
      </w:pPr>
      <w:bookmarkStart w:id="1" w:name="sommaire_1"/>
      <w:bookmarkEnd w:id="1"/>
      <w:r w:rsidRPr="00EF271B">
        <w:rPr>
          <w:rFonts w:ascii="Arial" w:eastAsia="Times New Roman" w:hAnsi="Arial" w:cs="Arial"/>
          <w:b/>
          <w:bCs/>
          <w:color w:val="000000" w:themeColor="text1"/>
          <w:sz w:val="29"/>
          <w:szCs w:val="29"/>
          <w:lang w:val="fr-BE"/>
        </w:rPr>
        <w:t xml:space="preserve">Qu’est ce </w:t>
      </w:r>
      <w:r w:rsidRPr="003D2851">
        <w:rPr>
          <w:rFonts w:ascii="Arial" w:eastAsia="Times New Roman" w:hAnsi="Arial" w:cs="Arial"/>
          <w:b/>
          <w:bCs/>
          <w:color w:val="000000" w:themeColor="text1"/>
          <w:sz w:val="32"/>
          <w:szCs w:val="32"/>
          <w:lang w:val="fr-BE"/>
        </w:rPr>
        <w:t>qu’une</w:t>
      </w:r>
      <w:r w:rsidRPr="00EF271B">
        <w:rPr>
          <w:rFonts w:ascii="Arial" w:eastAsia="Times New Roman" w:hAnsi="Arial" w:cs="Arial"/>
          <w:b/>
          <w:bCs/>
          <w:color w:val="000000" w:themeColor="text1"/>
          <w:sz w:val="29"/>
          <w:szCs w:val="29"/>
          <w:lang w:val="fr-BE"/>
        </w:rPr>
        <w:t xml:space="preserve"> cause réelle et sérieuse ?</w:t>
      </w:r>
    </w:p>
    <w:p w14:paraId="76577B32" w14:textId="77777777" w:rsidR="00EF271B" w:rsidRPr="00443682" w:rsidRDefault="00EF271B" w:rsidP="00EF271B">
      <w:pPr>
        <w:shd w:val="clear" w:color="auto" w:fill="FFFFFF"/>
        <w:spacing w:after="225" w:line="346" w:lineRule="atLeast"/>
        <w:rPr>
          <w:rFonts w:ascii="Arial" w:hAnsi="Arial" w:cs="Arial"/>
          <w:color w:val="000000" w:themeColor="text1"/>
          <w:lang w:val="fr-BE"/>
        </w:rPr>
      </w:pPr>
      <w:r w:rsidRPr="00443682">
        <w:rPr>
          <w:rFonts w:ascii="Arial" w:hAnsi="Arial" w:cs="Arial"/>
          <w:color w:val="000000" w:themeColor="text1"/>
          <w:lang w:val="fr-BE"/>
        </w:rPr>
        <w:t>Tout licenciement pour motif personnel doit être motivé et justifié par une cause réelle et sérieuse :</w:t>
      </w:r>
    </w:p>
    <w:p w14:paraId="151E194A" w14:textId="77777777" w:rsidR="00EF271B" w:rsidRPr="00443682" w:rsidRDefault="00EF271B" w:rsidP="00443682">
      <w:pPr>
        <w:pStyle w:val="Paragraphedeliste"/>
        <w:numPr>
          <w:ilvl w:val="0"/>
          <w:numId w:val="7"/>
        </w:numPr>
        <w:shd w:val="clear" w:color="auto" w:fill="FFFFFF"/>
        <w:spacing w:after="150" w:line="346" w:lineRule="atLeast"/>
        <w:rPr>
          <w:rFonts w:ascii="Verdana" w:eastAsia="Times New Roman" w:hAnsi="Verdana" w:cs="Arial"/>
          <w:color w:val="000000" w:themeColor="text1"/>
          <w:lang w:val="fr-BE"/>
        </w:rPr>
      </w:pPr>
      <w:r w:rsidRPr="00443682">
        <w:rPr>
          <w:rFonts w:ascii="Verdana" w:eastAsia="Times New Roman" w:hAnsi="Verdana" w:cs="Arial"/>
          <w:color w:val="000000" w:themeColor="text1"/>
          <w:lang w:val="fr-BE"/>
        </w:rPr>
        <w:t>réelle, c’est-à-dire qui repose sur des faits objectifs, vérifiables et non sur une impression ou un jugement subjectif,</w:t>
      </w:r>
    </w:p>
    <w:p w14:paraId="3EBCE38E" w14:textId="77777777" w:rsidR="00EF271B" w:rsidRPr="00443682" w:rsidRDefault="00EF271B" w:rsidP="00443682">
      <w:pPr>
        <w:pStyle w:val="Paragraphedeliste"/>
        <w:numPr>
          <w:ilvl w:val="0"/>
          <w:numId w:val="7"/>
        </w:numPr>
        <w:shd w:val="clear" w:color="auto" w:fill="FFFFFF"/>
        <w:spacing w:after="150" w:line="346" w:lineRule="atLeast"/>
        <w:rPr>
          <w:rFonts w:ascii="Verdana" w:eastAsia="Times New Roman" w:hAnsi="Verdana" w:cs="Arial"/>
          <w:color w:val="000000" w:themeColor="text1"/>
          <w:lang w:val="fr-BE"/>
        </w:rPr>
      </w:pPr>
      <w:r w:rsidRPr="00443682">
        <w:rPr>
          <w:rFonts w:ascii="Verdana" w:eastAsia="Times New Roman" w:hAnsi="Verdana" w:cs="Arial"/>
          <w:color w:val="000000" w:themeColor="text1"/>
          <w:lang w:val="fr-BE"/>
        </w:rPr>
        <w:t>sérieuse, c’est-à-dire suffisamment grave pour rendre inévitable le licenciement. Il convient d’apprécier les événements au cas par cas, selon leur ampleur, leurs conséquences sur la bonne marche de l’entreprise, les " états de service " du salarié.</w:t>
      </w:r>
    </w:p>
    <w:p w14:paraId="6F7296D9" w14:textId="77777777" w:rsidR="00EF271B" w:rsidRPr="00443682" w:rsidRDefault="00EF271B" w:rsidP="00EF271B">
      <w:pPr>
        <w:shd w:val="clear" w:color="auto" w:fill="FFFFFF"/>
        <w:spacing w:line="346" w:lineRule="atLeast"/>
        <w:rPr>
          <w:rFonts w:ascii="Arial" w:hAnsi="Arial" w:cs="Arial"/>
          <w:color w:val="000000" w:themeColor="text1"/>
          <w:lang w:val="fr-BE"/>
        </w:rPr>
      </w:pPr>
      <w:r w:rsidRPr="00443682">
        <w:rPr>
          <w:rFonts w:ascii="Arial" w:hAnsi="Arial" w:cs="Arial"/>
          <w:color w:val="000000" w:themeColor="text1"/>
          <w:lang w:val="fr-BE"/>
        </w:rPr>
        <w:t>Tout licenciement peut être contesté devant le conseil de prud’hommes. Le juge se détermine au vu des éléments fournis par les parties (l’employeur et le salarié) après avoir ordonné, au besoin, toutes les mesures d’instruction qu’il estime utiles. Si un doute subsiste, il profite au salarié :</w:t>
      </w:r>
    </w:p>
    <w:p w14:paraId="1A1201FD" w14:textId="77777777" w:rsidR="00EF271B" w:rsidRPr="00443682" w:rsidRDefault="00EF271B" w:rsidP="00EF271B">
      <w:pPr>
        <w:shd w:val="clear" w:color="auto" w:fill="FFFFFF"/>
        <w:spacing w:after="225" w:line="346" w:lineRule="atLeast"/>
        <w:rPr>
          <w:rFonts w:ascii="Arial" w:hAnsi="Arial" w:cs="Arial"/>
          <w:color w:val="000000" w:themeColor="text1"/>
          <w:lang w:val="fr-BE"/>
        </w:rPr>
      </w:pPr>
      <w:r w:rsidRPr="00443682">
        <w:rPr>
          <w:rFonts w:ascii="Arial" w:hAnsi="Arial" w:cs="Arial"/>
          <w:color w:val="000000" w:themeColor="text1"/>
          <w:lang w:val="fr-BE"/>
        </w:rPr>
        <w:t>Si le juge estime qu’il n’existe pas de cause réelle et sérieuse, il peut :</w:t>
      </w:r>
    </w:p>
    <w:p w14:paraId="3FE303D4" w14:textId="77777777" w:rsidR="00EF271B" w:rsidRPr="00443682" w:rsidRDefault="00EF271B" w:rsidP="00443682">
      <w:pPr>
        <w:pStyle w:val="Paragraphedeliste"/>
        <w:numPr>
          <w:ilvl w:val="0"/>
          <w:numId w:val="8"/>
        </w:numPr>
        <w:shd w:val="clear" w:color="auto" w:fill="FFFFFF"/>
        <w:spacing w:after="150" w:line="346" w:lineRule="atLeast"/>
        <w:rPr>
          <w:rFonts w:ascii="Verdana" w:eastAsia="Times New Roman" w:hAnsi="Verdana" w:cs="Arial"/>
          <w:color w:val="000000" w:themeColor="text1"/>
          <w:lang w:val="fr-BE"/>
        </w:rPr>
      </w:pPr>
      <w:r w:rsidRPr="00443682">
        <w:rPr>
          <w:rFonts w:ascii="Verdana" w:eastAsia="Times New Roman" w:hAnsi="Verdana" w:cs="Arial"/>
          <w:color w:val="000000" w:themeColor="text1"/>
          <w:lang w:val="fr-BE"/>
        </w:rPr>
        <w:lastRenderedPageBreak/>
        <w:t>proposer la réintégration du salarié dans l’entreprise, avec maintien de ses avantages acquis,</w:t>
      </w:r>
    </w:p>
    <w:p w14:paraId="0316A958" w14:textId="77777777" w:rsidR="00EF271B" w:rsidRPr="00443682" w:rsidRDefault="00EF271B" w:rsidP="00443682">
      <w:pPr>
        <w:pStyle w:val="Paragraphedeliste"/>
        <w:numPr>
          <w:ilvl w:val="0"/>
          <w:numId w:val="8"/>
        </w:numPr>
        <w:shd w:val="clear" w:color="auto" w:fill="FFFFFF"/>
        <w:spacing w:line="346" w:lineRule="atLeast"/>
        <w:rPr>
          <w:rFonts w:ascii="Verdana" w:eastAsia="Times New Roman" w:hAnsi="Verdana" w:cs="Arial"/>
          <w:color w:val="000000" w:themeColor="text1"/>
          <w:lang w:val="fr-BE"/>
        </w:rPr>
      </w:pPr>
      <w:r w:rsidRPr="00443682">
        <w:rPr>
          <w:rFonts w:ascii="Verdana" w:eastAsia="Times New Roman" w:hAnsi="Verdana" w:cs="Arial"/>
          <w:color w:val="000000" w:themeColor="text1"/>
          <w:lang w:val="fr-BE"/>
        </w:rPr>
        <w:t>si l’une ou l’autre des parties refuse la réintégration, condamner l’employeur à verser au salarié une indemnité au moins égale à 6 mois de salaires. Toutefois, si le salarié a moins de deux ans d’ancienneté ou travaille dans une entreprise de moins de 11 salariés, le montant de l’indemnité est fixé selon le préjudice subi. Ces sommes viennent en plus des indemnités de licenciement et de préavis.</w:t>
      </w:r>
    </w:p>
    <w:p w14:paraId="176B59D5" w14:textId="77777777" w:rsidR="00EF271B" w:rsidRPr="00443682" w:rsidRDefault="00EF271B" w:rsidP="00EF271B">
      <w:pPr>
        <w:shd w:val="clear" w:color="auto" w:fill="FFFFFF"/>
        <w:spacing w:after="225" w:line="346" w:lineRule="atLeast"/>
        <w:rPr>
          <w:rFonts w:ascii="Arial" w:hAnsi="Arial" w:cs="Arial"/>
          <w:color w:val="000000" w:themeColor="text1"/>
          <w:lang w:val="fr-BE"/>
        </w:rPr>
      </w:pPr>
      <w:r w:rsidRPr="00443682">
        <w:rPr>
          <w:rFonts w:ascii="Arial" w:hAnsi="Arial" w:cs="Arial"/>
          <w:color w:val="000000" w:themeColor="text1"/>
          <w:lang w:val="fr-BE"/>
        </w:rPr>
        <w:t>En outre, si le licenciement du salarié intervient pour une cause qui n’est pas réelle et sérieuse, le juge ordonne le remboursement par l’employeur fautif aux organismes intéressés de tout ou partie des indemnités de chômage versées au salarié licencié, du jour de son licenciement au jour du jugement prononcé, dans la limite de six mois d’indemnités de chômage par salarié intéressé. Cette disposition n’est toutefois pas applicable au licenciement d’un salarié de moins de deux ans d’ancienneté dans l’entreprise et au licenciement opéré dans une entreprise employant habituellement moins de 11 salariés.</w:t>
      </w:r>
    </w:p>
    <w:p w14:paraId="0C61F117" w14:textId="77777777" w:rsidR="00EF271B" w:rsidRPr="00EF271B" w:rsidRDefault="00EF271B" w:rsidP="00EF271B">
      <w:pPr>
        <w:shd w:val="clear" w:color="auto" w:fill="FFFFFF"/>
        <w:spacing w:before="225" w:after="150"/>
        <w:outlineLvl w:val="1"/>
        <w:rPr>
          <w:rFonts w:ascii="Arial" w:eastAsia="Times New Roman" w:hAnsi="Arial" w:cs="Arial"/>
          <w:b/>
          <w:bCs/>
          <w:color w:val="000000" w:themeColor="text1"/>
          <w:sz w:val="29"/>
          <w:szCs w:val="29"/>
          <w:lang w:val="fr-BE"/>
        </w:rPr>
      </w:pPr>
      <w:bookmarkStart w:id="2" w:name="sommaire_2"/>
      <w:bookmarkEnd w:id="2"/>
      <w:r w:rsidRPr="00EF271B">
        <w:rPr>
          <w:rFonts w:ascii="Arial" w:eastAsia="Times New Roman" w:hAnsi="Arial" w:cs="Arial"/>
          <w:b/>
          <w:bCs/>
          <w:color w:val="000000" w:themeColor="text1"/>
          <w:sz w:val="29"/>
          <w:szCs w:val="29"/>
          <w:lang w:val="fr-BE"/>
        </w:rPr>
        <w:t xml:space="preserve">Qu’est ce </w:t>
      </w:r>
      <w:r w:rsidRPr="00144ED1">
        <w:rPr>
          <w:rFonts w:ascii="Arial" w:eastAsia="Times New Roman" w:hAnsi="Arial" w:cs="Arial"/>
          <w:b/>
          <w:bCs/>
          <w:color w:val="000000" w:themeColor="text1"/>
          <w:sz w:val="32"/>
          <w:szCs w:val="32"/>
          <w:lang w:val="fr-BE"/>
        </w:rPr>
        <w:t>qu’un</w:t>
      </w:r>
      <w:r w:rsidRPr="00EF271B">
        <w:rPr>
          <w:rFonts w:ascii="Arial" w:eastAsia="Times New Roman" w:hAnsi="Arial" w:cs="Arial"/>
          <w:b/>
          <w:bCs/>
          <w:color w:val="000000" w:themeColor="text1"/>
          <w:sz w:val="29"/>
          <w:szCs w:val="29"/>
          <w:lang w:val="fr-BE"/>
        </w:rPr>
        <w:t xml:space="preserve"> motif personnel ?</w:t>
      </w:r>
    </w:p>
    <w:p w14:paraId="246AA605" w14:textId="77777777" w:rsidR="00EF271B" w:rsidRPr="00C06ED4" w:rsidRDefault="00EF271B" w:rsidP="00EF271B">
      <w:pPr>
        <w:shd w:val="clear" w:color="auto" w:fill="FFFFFF"/>
        <w:spacing w:after="225" w:line="346" w:lineRule="atLeast"/>
        <w:rPr>
          <w:rFonts w:ascii="Arial" w:hAnsi="Arial" w:cs="Arial"/>
          <w:color w:val="000000" w:themeColor="text1"/>
          <w:lang w:val="fr-BE"/>
        </w:rPr>
      </w:pPr>
      <w:r w:rsidRPr="00C06ED4">
        <w:rPr>
          <w:rFonts w:ascii="Arial" w:hAnsi="Arial" w:cs="Arial"/>
          <w:color w:val="000000" w:themeColor="text1"/>
          <w:lang w:val="fr-BE"/>
        </w:rPr>
        <w:t>Le licenciement pour motif personnel n’est pas nécessairement fondé sur une faute. D’autres motifs (insuffisance professionnelle, absences répétées ou prolongées entraînant l’impossibilité de maintenir le contrat de travail,…) peuvent être à l’origine d’un licenciement.</w:t>
      </w:r>
    </w:p>
    <w:p w14:paraId="2A6FDD2B" w14:textId="77777777" w:rsidR="00EF271B" w:rsidRPr="00C06ED4" w:rsidRDefault="00EF271B" w:rsidP="00EF271B">
      <w:pPr>
        <w:shd w:val="clear" w:color="auto" w:fill="FFFFFF"/>
        <w:spacing w:after="225" w:line="346" w:lineRule="atLeast"/>
        <w:rPr>
          <w:rFonts w:ascii="Arial" w:hAnsi="Arial" w:cs="Arial"/>
          <w:color w:val="000000" w:themeColor="text1"/>
          <w:lang w:val="fr-BE"/>
        </w:rPr>
      </w:pPr>
      <w:r w:rsidRPr="00C06ED4">
        <w:rPr>
          <w:rFonts w:ascii="Arial" w:hAnsi="Arial" w:cs="Arial"/>
          <w:color w:val="000000" w:themeColor="text1"/>
          <w:lang w:val="fr-BE"/>
        </w:rPr>
        <w:t>S’il résulte d’une faute, celle-ci peut, selon son importance (simple, grave ou lourde), dispenser l’employeur du versement de certaines indemnités. La faute grave est celle qui provoque des troubles sérieux ou des pertes pour l’entreprise et rend impossible le maintien du salarié dans l’entreprise. Dans ce cas, aucun préavis ni indemnité de licenciement ne sont dus.</w:t>
      </w:r>
    </w:p>
    <w:p w14:paraId="20847BD0" w14:textId="77777777" w:rsidR="00EF271B" w:rsidRPr="00C06ED4" w:rsidRDefault="00EF271B" w:rsidP="00EF271B">
      <w:pPr>
        <w:shd w:val="clear" w:color="auto" w:fill="EEEEEE"/>
        <w:spacing w:line="346" w:lineRule="atLeast"/>
        <w:rPr>
          <w:rFonts w:ascii="Arial" w:eastAsia="Times New Roman" w:hAnsi="Arial" w:cs="Arial"/>
          <w:color w:val="000000" w:themeColor="text1"/>
          <w:lang w:val="fr-BE"/>
        </w:rPr>
      </w:pPr>
      <w:r w:rsidRPr="00C06ED4">
        <w:rPr>
          <w:rFonts w:ascii="Arial" w:eastAsia="Times New Roman" w:hAnsi="Arial" w:cs="Arial"/>
          <w:color w:val="000000" w:themeColor="text1"/>
          <w:lang w:val="fr-BE"/>
        </w:rPr>
        <w:t>Absences non autorisées, des indiscrétions, certaines fautes professionnelles… peuvent, selon les circonstances, constituer une faute simple - mais suffisante pour justifier le licenciement - ou une faute grave.</w:t>
      </w:r>
    </w:p>
    <w:p w14:paraId="158E8F17" w14:textId="77777777" w:rsidR="00EF271B" w:rsidRPr="00C06ED4" w:rsidRDefault="00EF271B" w:rsidP="00EF271B">
      <w:pPr>
        <w:shd w:val="clear" w:color="auto" w:fill="FFFFFF"/>
        <w:spacing w:line="346" w:lineRule="atLeast"/>
        <w:rPr>
          <w:rFonts w:ascii="Arial" w:hAnsi="Arial" w:cs="Arial"/>
          <w:color w:val="000000" w:themeColor="text1"/>
          <w:lang w:val="fr-BE"/>
        </w:rPr>
      </w:pPr>
      <w:r w:rsidRPr="00C06ED4">
        <w:rPr>
          <w:rFonts w:ascii="Arial" w:hAnsi="Arial" w:cs="Arial"/>
          <w:color w:val="000000" w:themeColor="text1"/>
          <w:lang w:val="fr-BE"/>
        </w:rPr>
        <w:t>La faute lourde a toutes les caractéristiques de la faute grave, renforcée par l’intention du salarié de nuire à l’employeur ou à l’entreprise (vol, détournement de fonds). Elle est privative également de l’</w:t>
      </w:r>
      <w:hyperlink r:id="rId6" w:history="1">
        <w:r w:rsidRPr="00C06ED4">
          <w:rPr>
            <w:rFonts w:ascii="Arial" w:hAnsi="Arial" w:cs="Arial"/>
            <w:color w:val="000000" w:themeColor="text1"/>
            <w:lang w:val="fr-BE"/>
          </w:rPr>
          <w:t>indemnité de congés payés</w:t>
        </w:r>
      </w:hyperlink>
      <w:r w:rsidRPr="00C06ED4">
        <w:rPr>
          <w:rFonts w:ascii="Arial" w:hAnsi="Arial" w:cs="Arial"/>
          <w:color w:val="000000" w:themeColor="text1"/>
          <w:lang w:val="fr-BE"/>
        </w:rPr>
        <w:t>.</w:t>
      </w:r>
    </w:p>
    <w:p w14:paraId="1914257F" w14:textId="77777777" w:rsidR="00EF271B" w:rsidRPr="00EF271B" w:rsidRDefault="00EF271B" w:rsidP="00EF271B">
      <w:pPr>
        <w:shd w:val="clear" w:color="auto" w:fill="FFFFFF"/>
        <w:spacing w:before="225" w:after="150"/>
        <w:outlineLvl w:val="1"/>
        <w:rPr>
          <w:rFonts w:ascii="Arial" w:eastAsia="Times New Roman" w:hAnsi="Arial" w:cs="Arial"/>
          <w:b/>
          <w:bCs/>
          <w:color w:val="000000" w:themeColor="text1"/>
          <w:sz w:val="29"/>
          <w:szCs w:val="29"/>
          <w:lang w:val="fr-BE"/>
        </w:rPr>
      </w:pPr>
      <w:bookmarkStart w:id="3" w:name="sommaire_3"/>
      <w:bookmarkEnd w:id="3"/>
      <w:r w:rsidRPr="00EF271B">
        <w:rPr>
          <w:rFonts w:ascii="Arial" w:eastAsia="Times New Roman" w:hAnsi="Arial" w:cs="Arial"/>
          <w:b/>
          <w:bCs/>
          <w:color w:val="000000" w:themeColor="text1"/>
          <w:sz w:val="29"/>
          <w:szCs w:val="29"/>
          <w:lang w:val="fr-BE"/>
        </w:rPr>
        <w:t>Existe-t-il des motifs de licenciement interdits ?</w:t>
      </w:r>
    </w:p>
    <w:p w14:paraId="34EF3F32" w14:textId="77777777" w:rsidR="00EF271B" w:rsidRPr="00022051" w:rsidRDefault="00EF271B" w:rsidP="00EF271B">
      <w:pPr>
        <w:shd w:val="clear" w:color="auto" w:fill="FFFFFF"/>
        <w:spacing w:line="346" w:lineRule="atLeast"/>
        <w:rPr>
          <w:rFonts w:ascii="Arial" w:hAnsi="Arial" w:cs="Arial"/>
          <w:color w:val="000000" w:themeColor="text1"/>
          <w:lang w:val="fr-BE"/>
        </w:rPr>
      </w:pPr>
      <w:r w:rsidRPr="00022051">
        <w:rPr>
          <w:rFonts w:ascii="Arial" w:hAnsi="Arial" w:cs="Arial"/>
          <w:color w:val="000000" w:themeColor="text1"/>
          <w:lang w:val="fr-BE"/>
        </w:rPr>
        <w:t>Licencier un salarié parce qu’il a exercé, dans des conditions normales, ses droits et ses libertés fondamentales (droit de grève, de vote, exercice d’activité syndicale ou mutualiste, etc.) est interdit. De même, est considéré comme nul un licenciement fondé sur un des critères (sexe, situation de famille, origine, convictions religieuses, etc.) visés à </w:t>
      </w:r>
      <w:hyperlink r:id="rId7" w:history="1">
        <w:r w:rsidRPr="00022051">
          <w:rPr>
            <w:rFonts w:ascii="Arial" w:hAnsi="Arial" w:cs="Arial"/>
            <w:color w:val="000000" w:themeColor="text1"/>
            <w:lang w:val="fr-BE"/>
          </w:rPr>
          <w:t>l’article L. 1132-1 du code du travail</w:t>
        </w:r>
      </w:hyperlink>
      <w:r w:rsidRPr="00022051">
        <w:rPr>
          <w:rFonts w:ascii="Arial" w:hAnsi="Arial" w:cs="Arial"/>
          <w:color w:val="000000" w:themeColor="text1"/>
          <w:lang w:val="fr-BE"/>
        </w:rPr>
        <w:t> ainsi qu’un licenciement prononcé en violation des règles relatives à la protection de la maternité</w:t>
      </w:r>
    </w:p>
    <w:p w14:paraId="595834A2" w14:textId="77777777" w:rsidR="00EF271B" w:rsidRPr="00022051" w:rsidRDefault="00EF271B" w:rsidP="00EF271B">
      <w:pPr>
        <w:shd w:val="clear" w:color="auto" w:fill="EEEEEE"/>
        <w:spacing w:line="346" w:lineRule="atLeast"/>
        <w:rPr>
          <w:rFonts w:ascii="Arial" w:eastAsia="Times New Roman" w:hAnsi="Arial" w:cs="Arial"/>
          <w:color w:val="000000" w:themeColor="text1"/>
          <w:lang w:val="fr-BE"/>
        </w:rPr>
      </w:pPr>
      <w:r w:rsidRPr="00022051">
        <w:rPr>
          <w:rFonts w:ascii="Arial" w:eastAsia="Times New Roman" w:hAnsi="Arial" w:cs="Arial"/>
          <w:color w:val="000000" w:themeColor="text1"/>
          <w:lang w:val="fr-BE"/>
        </w:rPr>
        <w:t>En raison de l’atteinte qu’il porte à la liberté fondamentale de témoigner, garantie d’une bonne justice, le licenciement prononcé en raison du contenu d’une attestation délivrée par un salarié au bénéfice d’un autre est atteint de nullité, sauf en cas de mauvaise foi de son auteur (arrêt de la Cour de cassation du 29 octobre 2013)</w:t>
      </w:r>
    </w:p>
    <w:p w14:paraId="27E81208" w14:textId="77777777" w:rsidR="00EF271B" w:rsidRPr="00022051" w:rsidRDefault="00EF271B" w:rsidP="00EF271B">
      <w:pPr>
        <w:shd w:val="clear" w:color="auto" w:fill="FFFFFF"/>
        <w:spacing w:after="225" w:line="346" w:lineRule="atLeast"/>
        <w:rPr>
          <w:rFonts w:ascii="Arial" w:hAnsi="Arial" w:cs="Arial"/>
          <w:color w:val="000000" w:themeColor="text1"/>
          <w:lang w:val="fr-BE"/>
        </w:rPr>
      </w:pPr>
      <w:r w:rsidRPr="00022051">
        <w:rPr>
          <w:rFonts w:ascii="Arial" w:hAnsi="Arial" w:cs="Arial"/>
          <w:color w:val="000000" w:themeColor="text1"/>
          <w:lang w:val="fr-BE"/>
        </w:rPr>
        <w:t>Aucun salarié ne peut également être licencié (pour plus de précisions, se reporter aux fiches concernées) :</w:t>
      </w:r>
    </w:p>
    <w:p w14:paraId="0D0874F5" w14:textId="0EE8C61A" w:rsidR="00EF271B" w:rsidRPr="007316A1" w:rsidRDefault="00EF271B" w:rsidP="007316A1">
      <w:pPr>
        <w:pStyle w:val="Paragraphedeliste"/>
        <w:numPr>
          <w:ilvl w:val="0"/>
          <w:numId w:val="9"/>
        </w:numPr>
        <w:shd w:val="clear" w:color="auto" w:fill="FFFFFF"/>
        <w:spacing w:line="346" w:lineRule="atLeast"/>
        <w:rPr>
          <w:rFonts w:ascii="Verdana" w:eastAsia="Times New Roman" w:hAnsi="Verdana" w:cs="Arial"/>
          <w:color w:val="000000" w:themeColor="text1"/>
          <w:lang w:val="fr-BE"/>
        </w:rPr>
      </w:pPr>
      <w:r w:rsidRPr="007316A1">
        <w:rPr>
          <w:rFonts w:ascii="Verdana" w:eastAsia="Times New Roman" w:hAnsi="Verdana" w:cs="Arial"/>
          <w:color w:val="000000" w:themeColor="text1"/>
          <w:lang w:val="fr-BE"/>
        </w:rPr>
        <w:t xml:space="preserve">pour avoir subi ou refusé de subir des agissements répétés de harcèlement moral ou pour avoir témoigné de </w:t>
      </w:r>
      <w:r w:rsidR="00022051" w:rsidRPr="007316A1">
        <w:rPr>
          <w:rFonts w:ascii="Verdana" w:eastAsia="Times New Roman" w:hAnsi="Verdana" w:cs="Arial"/>
          <w:color w:val="000000" w:themeColor="text1"/>
          <w:lang w:val="fr-BE"/>
        </w:rPr>
        <w:t xml:space="preserve">tels </w:t>
      </w:r>
      <w:r w:rsidRPr="007316A1">
        <w:rPr>
          <w:rFonts w:ascii="Verdana" w:eastAsia="Times New Roman" w:hAnsi="Verdana" w:cs="Arial"/>
          <w:color w:val="000000" w:themeColor="text1"/>
          <w:lang w:val="fr-BE"/>
        </w:rPr>
        <w:t>agissements ou les avoir relatés ;</w:t>
      </w:r>
    </w:p>
    <w:p w14:paraId="187B8963" w14:textId="77777777" w:rsidR="00EF271B" w:rsidRPr="007316A1" w:rsidRDefault="00EF271B" w:rsidP="007316A1">
      <w:pPr>
        <w:pStyle w:val="Paragraphedeliste"/>
        <w:numPr>
          <w:ilvl w:val="0"/>
          <w:numId w:val="9"/>
        </w:numPr>
        <w:shd w:val="clear" w:color="auto" w:fill="FFFFFF"/>
        <w:spacing w:line="346" w:lineRule="atLeast"/>
        <w:rPr>
          <w:rFonts w:ascii="Verdana" w:eastAsia="Times New Roman" w:hAnsi="Verdana" w:cs="Arial"/>
          <w:color w:val="000000" w:themeColor="text1"/>
          <w:lang w:val="fr-BE"/>
        </w:rPr>
      </w:pPr>
      <w:r w:rsidRPr="007316A1">
        <w:rPr>
          <w:rFonts w:ascii="Verdana" w:eastAsia="Times New Roman" w:hAnsi="Verdana" w:cs="Arial"/>
          <w:color w:val="000000" w:themeColor="text1"/>
          <w:lang w:val="fr-BE"/>
        </w:rPr>
        <w:t>pour avoir subi ou refusé de subir des faits de harcèlement sexueltels que définis à l’article L. 1153-1 du Code du travail, y compris, dans le cas mentionné au 1° de cet article, si les propos ou comportements n’ont pas été répétés, pour avoir témoigné de faits de harcèlement sexuel ou pour les avoir relatés.</w:t>
      </w:r>
    </w:p>
    <w:p w14:paraId="56525F26" w14:textId="77777777" w:rsidR="00EF271B" w:rsidRPr="007316A1" w:rsidRDefault="00EF271B" w:rsidP="007316A1">
      <w:pPr>
        <w:pStyle w:val="Paragraphedeliste"/>
        <w:numPr>
          <w:ilvl w:val="0"/>
          <w:numId w:val="9"/>
        </w:numPr>
        <w:shd w:val="clear" w:color="auto" w:fill="FFFFFF"/>
        <w:spacing w:line="346" w:lineRule="atLeast"/>
        <w:rPr>
          <w:rFonts w:ascii="Verdana" w:eastAsia="Times New Roman" w:hAnsi="Verdana" w:cs="Arial"/>
          <w:color w:val="000000" w:themeColor="text1"/>
          <w:lang w:val="fr-BE"/>
        </w:rPr>
      </w:pPr>
      <w:r w:rsidRPr="007316A1">
        <w:rPr>
          <w:rFonts w:ascii="Verdana" w:eastAsia="Times New Roman" w:hAnsi="Verdana" w:cs="Arial"/>
          <w:color w:val="000000" w:themeColor="text1"/>
          <w:lang w:val="fr-BE"/>
        </w:rPr>
        <w:t>pour avoir témoigné des agissements discriminatoires définis aux articles L. 1132-1 et L. 1132-2 du Code du travail ou pour les avoir relatés ;</w:t>
      </w:r>
    </w:p>
    <w:p w14:paraId="311919E2" w14:textId="77777777" w:rsidR="00EF271B" w:rsidRPr="007316A1" w:rsidRDefault="00EF271B" w:rsidP="007316A1">
      <w:pPr>
        <w:pStyle w:val="Paragraphedeliste"/>
        <w:numPr>
          <w:ilvl w:val="0"/>
          <w:numId w:val="9"/>
        </w:numPr>
        <w:shd w:val="clear" w:color="auto" w:fill="FFFFFF"/>
        <w:spacing w:after="150" w:line="346" w:lineRule="atLeast"/>
        <w:rPr>
          <w:rFonts w:ascii="Verdana" w:eastAsia="Times New Roman" w:hAnsi="Verdana" w:cs="Arial"/>
          <w:color w:val="000000" w:themeColor="text1"/>
          <w:lang w:val="fr-BE"/>
        </w:rPr>
      </w:pPr>
      <w:r w:rsidRPr="007316A1">
        <w:rPr>
          <w:rFonts w:ascii="Verdana" w:eastAsia="Times New Roman" w:hAnsi="Verdana" w:cs="Arial"/>
          <w:color w:val="000000" w:themeColor="text1"/>
          <w:lang w:val="fr-BE"/>
        </w:rPr>
        <w:t>en raison de l’exercice des fonctions de juré ;</w:t>
      </w:r>
    </w:p>
    <w:p w14:paraId="2B02CE37" w14:textId="77777777" w:rsidR="00EF271B" w:rsidRPr="007316A1" w:rsidRDefault="00EF271B" w:rsidP="007316A1">
      <w:pPr>
        <w:pStyle w:val="Paragraphedeliste"/>
        <w:numPr>
          <w:ilvl w:val="0"/>
          <w:numId w:val="9"/>
        </w:numPr>
        <w:shd w:val="clear" w:color="auto" w:fill="FFFFFF"/>
        <w:spacing w:after="150" w:line="346" w:lineRule="atLeast"/>
        <w:rPr>
          <w:rFonts w:ascii="Verdana" w:eastAsia="Times New Roman" w:hAnsi="Verdana" w:cs="Arial"/>
          <w:color w:val="000000" w:themeColor="text1"/>
          <w:lang w:val="fr-BE"/>
        </w:rPr>
      </w:pPr>
      <w:r w:rsidRPr="007316A1">
        <w:rPr>
          <w:rFonts w:ascii="Verdana" w:eastAsia="Times New Roman" w:hAnsi="Verdana" w:cs="Arial"/>
          <w:color w:val="000000" w:themeColor="text1"/>
          <w:lang w:val="fr-BE"/>
        </w:rPr>
        <w:t>pour avoir refusé en raison de son orientation sexuelle une mutation géographique dans un État incriminant l’homosexualité ;</w:t>
      </w:r>
    </w:p>
    <w:p w14:paraId="25ADE907" w14:textId="77777777" w:rsidR="00EF271B" w:rsidRPr="007316A1" w:rsidRDefault="00EF271B" w:rsidP="007316A1">
      <w:pPr>
        <w:pStyle w:val="Paragraphedeliste"/>
        <w:numPr>
          <w:ilvl w:val="0"/>
          <w:numId w:val="9"/>
        </w:numPr>
        <w:shd w:val="clear" w:color="auto" w:fill="FFFFFF"/>
        <w:spacing w:after="150" w:line="346" w:lineRule="atLeast"/>
        <w:rPr>
          <w:rFonts w:ascii="Verdana" w:eastAsia="Times New Roman" w:hAnsi="Verdana" w:cs="Arial"/>
          <w:color w:val="000000" w:themeColor="text1"/>
          <w:lang w:val="fr-BE"/>
        </w:rPr>
      </w:pPr>
      <w:r w:rsidRPr="007316A1">
        <w:rPr>
          <w:rFonts w:ascii="Verdana" w:eastAsia="Times New Roman" w:hAnsi="Verdana" w:cs="Arial"/>
          <w:color w:val="000000" w:themeColor="text1"/>
          <w:lang w:val="fr-BE"/>
        </w:rPr>
        <w:t>pour avoir relaté ou relaté ou témoigné, de bonne foi, soit à son employeur, soit aux autorités judiciaires ou administratives, de faits de corruption dont il aurait eu connaissance dans l’exercice de ses fonctions (article L. 1161-1 du code du travail) ;</w:t>
      </w:r>
    </w:p>
    <w:p w14:paraId="1BD16B3E" w14:textId="77777777" w:rsidR="00EF271B" w:rsidRPr="007316A1" w:rsidRDefault="00EF271B" w:rsidP="007316A1">
      <w:pPr>
        <w:pStyle w:val="Paragraphedeliste"/>
        <w:numPr>
          <w:ilvl w:val="0"/>
          <w:numId w:val="9"/>
        </w:numPr>
        <w:shd w:val="clear" w:color="auto" w:fill="FFFFFF"/>
        <w:spacing w:after="150" w:line="346" w:lineRule="atLeast"/>
        <w:rPr>
          <w:rFonts w:ascii="Verdana" w:eastAsia="Times New Roman" w:hAnsi="Verdana" w:cs="Arial"/>
          <w:color w:val="000000" w:themeColor="text1"/>
          <w:lang w:val="fr-BE"/>
        </w:rPr>
      </w:pPr>
      <w:r w:rsidRPr="007316A1">
        <w:rPr>
          <w:rFonts w:ascii="Verdana" w:eastAsia="Times New Roman" w:hAnsi="Verdana" w:cs="Arial"/>
          <w:color w:val="000000" w:themeColor="text1"/>
          <w:lang w:val="fr-BE"/>
        </w:rPr>
        <w:t>pour avoir relaté ou témoigné, de bonne foi, soit à son employeur, soit aux autorités judiciaires ou administratives de faits relatifs à la sécurité sanitaire des produits mentionnés à l’article L. 5311-1 du code de la santé publique dont elle aurait eu connaissance dans l’exercice de ses fonctions (article L. 5312-4-2 du code de la santé publique) ;</w:t>
      </w:r>
    </w:p>
    <w:p w14:paraId="4C0BD7C1" w14:textId="77777777" w:rsidR="00EF271B" w:rsidRPr="007316A1" w:rsidRDefault="00EF271B" w:rsidP="007316A1">
      <w:pPr>
        <w:pStyle w:val="Paragraphedeliste"/>
        <w:numPr>
          <w:ilvl w:val="0"/>
          <w:numId w:val="9"/>
        </w:numPr>
        <w:shd w:val="clear" w:color="auto" w:fill="FFFFFF"/>
        <w:spacing w:line="346" w:lineRule="atLeast"/>
        <w:rPr>
          <w:rFonts w:ascii="Verdana" w:eastAsia="Times New Roman" w:hAnsi="Verdana" w:cs="Arial"/>
          <w:color w:val="000000" w:themeColor="text1"/>
          <w:lang w:val="fr-BE"/>
        </w:rPr>
      </w:pPr>
      <w:r w:rsidRPr="007316A1">
        <w:rPr>
          <w:rFonts w:ascii="Verdana" w:eastAsia="Times New Roman" w:hAnsi="Verdana" w:cs="Arial"/>
          <w:color w:val="000000" w:themeColor="text1"/>
          <w:lang w:val="fr-BE"/>
        </w:rPr>
        <w:t>pour avoir relaté ou témoigné, de bonne foi, soit à son employeur, soit aux autorités judiciaires ou administratives de faits relatifs à un risque grave pour la santé publique ou l’environnement dont elle aurait eu connaissance dans l’exercice de ses fonctions (article L. 1351-1 du code de la santé publique) ;le travailleur qui lance une alerte en application des articles L. 4133-1 et suivants du code du travail bénéficie également de cette protection ;</w:t>
      </w:r>
    </w:p>
    <w:p w14:paraId="7D60E3B9" w14:textId="77777777" w:rsidR="00EF271B" w:rsidRPr="007316A1" w:rsidRDefault="00EF271B" w:rsidP="007316A1">
      <w:pPr>
        <w:pStyle w:val="Paragraphedeliste"/>
        <w:numPr>
          <w:ilvl w:val="0"/>
          <w:numId w:val="9"/>
        </w:numPr>
        <w:shd w:val="clear" w:color="auto" w:fill="FFFFFF"/>
        <w:spacing w:after="150" w:line="346" w:lineRule="atLeast"/>
        <w:rPr>
          <w:rFonts w:ascii="Verdana" w:eastAsia="Times New Roman" w:hAnsi="Verdana" w:cs="Arial"/>
          <w:color w:val="000000" w:themeColor="text1"/>
          <w:lang w:val="fr-BE"/>
        </w:rPr>
      </w:pPr>
      <w:r w:rsidRPr="007316A1">
        <w:rPr>
          <w:rFonts w:ascii="Verdana" w:eastAsia="Times New Roman" w:hAnsi="Verdana" w:cs="Arial"/>
          <w:color w:val="000000" w:themeColor="text1"/>
          <w:lang w:val="fr-BE"/>
        </w:rPr>
        <w:t>pour avoir relaté ou témoigné, de bonne foi, à son employeur, à l’autorité chargée de la déontologie au sein de l’organisme, à une association de lutte contre la corruption agréée ou aux autorités judiciaires ou administratives de faits relatifs à une situation de conflit d’intérêts, telle que définie à l’article 2 de la loi n° 2013-907 du 11 octobre 2013, concernant l’une des personnes mentionnées aux articles 4 et 11 de cette même loi (membres du Gouvernement, représentants français au Parlement européen, membres des cabinets ministériels, collaborateurs du Président de la République, du président de l’Assemblée nationale et du président du Sénat, etc.), dont elle aurait eu connaissance dans l’exercice de ses fonctions (article 25 de la loi n° 2013-907 du 11 octobre 2013, JO du 12 octobre 2013) ;</w:t>
      </w:r>
    </w:p>
    <w:p w14:paraId="57329E7B" w14:textId="6134702E" w:rsidR="0046110E" w:rsidRPr="005A0357" w:rsidRDefault="00EF271B" w:rsidP="005A0357">
      <w:pPr>
        <w:pStyle w:val="Paragraphedeliste"/>
        <w:numPr>
          <w:ilvl w:val="0"/>
          <w:numId w:val="9"/>
        </w:numPr>
        <w:shd w:val="clear" w:color="auto" w:fill="FFFFFF"/>
        <w:spacing w:after="150" w:line="346" w:lineRule="atLeast"/>
        <w:rPr>
          <w:rFonts w:ascii="Verdana" w:eastAsia="Times New Roman" w:hAnsi="Verdana" w:cs="Arial"/>
          <w:color w:val="000000" w:themeColor="text1"/>
          <w:lang w:val="fr-BE"/>
        </w:rPr>
      </w:pPr>
      <w:r w:rsidRPr="007316A1">
        <w:rPr>
          <w:rFonts w:ascii="Verdana" w:eastAsia="Times New Roman" w:hAnsi="Verdana" w:cs="Arial"/>
          <w:color w:val="000000" w:themeColor="text1"/>
          <w:lang w:val="fr-BE"/>
        </w:rPr>
        <w:t>pour avoir relaté ou témoigné, de bonne foi, de faits constitutifs d’un délit ou d’un crime dont il aurait eu connaissance dans l’exercice de ses fonctions (article L. 1132-3-3 du code du travail).</w:t>
      </w:r>
    </w:p>
    <w:sectPr w:rsidR="0046110E" w:rsidRPr="005A0357" w:rsidSect="00900E1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A21738"/>
    <w:multiLevelType w:val="hybridMultilevel"/>
    <w:tmpl w:val="D228F5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B3901CC"/>
    <w:multiLevelType w:val="multilevel"/>
    <w:tmpl w:val="474E0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460273"/>
    <w:multiLevelType w:val="multilevel"/>
    <w:tmpl w:val="4CB07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0D6BBA"/>
    <w:multiLevelType w:val="hybridMultilevel"/>
    <w:tmpl w:val="2CBA69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5414F22"/>
    <w:multiLevelType w:val="multilevel"/>
    <w:tmpl w:val="488A4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A9C7969"/>
    <w:multiLevelType w:val="hybridMultilevel"/>
    <w:tmpl w:val="2676C1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1FC5CF6"/>
    <w:multiLevelType w:val="hybridMultilevel"/>
    <w:tmpl w:val="FFBEDA7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623006D4"/>
    <w:multiLevelType w:val="multilevel"/>
    <w:tmpl w:val="421CA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CB23523"/>
    <w:multiLevelType w:val="hybridMultilevel"/>
    <w:tmpl w:val="7D2A2A5C"/>
    <w:lvl w:ilvl="0" w:tplc="38BCD35A">
      <w:start w:val="1"/>
      <w:numFmt w:val="decimal"/>
      <w:pStyle w:val="Titre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7D836F68"/>
    <w:multiLevelType w:val="hybridMultilevel"/>
    <w:tmpl w:val="569060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7"/>
  </w:num>
  <w:num w:numId="4">
    <w:abstractNumId w:val="2"/>
  </w:num>
  <w:num w:numId="5">
    <w:abstractNumId w:val="4"/>
  </w:num>
  <w:num w:numId="6">
    <w:abstractNumId w:val="3"/>
  </w:num>
  <w:num w:numId="7">
    <w:abstractNumId w:val="5"/>
  </w:num>
  <w:num w:numId="8">
    <w:abstractNumId w:val="0"/>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271B"/>
    <w:rsid w:val="00022051"/>
    <w:rsid w:val="0009739E"/>
    <w:rsid w:val="00144ED1"/>
    <w:rsid w:val="003D2851"/>
    <w:rsid w:val="00443682"/>
    <w:rsid w:val="0046110E"/>
    <w:rsid w:val="005A0357"/>
    <w:rsid w:val="006B09A0"/>
    <w:rsid w:val="00716F27"/>
    <w:rsid w:val="007316A1"/>
    <w:rsid w:val="00775342"/>
    <w:rsid w:val="00900E1B"/>
    <w:rsid w:val="00BB6983"/>
    <w:rsid w:val="00C06ED4"/>
    <w:rsid w:val="00C943C9"/>
    <w:rsid w:val="00EF271B"/>
    <w:rsid w:val="00F7471B"/>
    <w:rsid w:val="00FF0566"/>
    <w:rsid w:val="00FF5FC0"/>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2F3AC7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autoRedefine/>
    <w:uiPriority w:val="9"/>
    <w:qFormat/>
    <w:rsid w:val="00C943C9"/>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link w:val="Titre2Car"/>
    <w:uiPriority w:val="9"/>
    <w:qFormat/>
    <w:rsid w:val="00EF271B"/>
    <w:pPr>
      <w:spacing w:before="100" w:beforeAutospacing="1" w:after="100" w:afterAutospacing="1"/>
      <w:outlineLvl w:val="1"/>
    </w:pPr>
    <w:rPr>
      <w:rFonts w:ascii="Times" w:hAnsi="Times"/>
      <w:b/>
      <w:bCs/>
      <w:sz w:val="36"/>
      <w:szCs w:val="36"/>
      <w:lang w:val="fr-B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uiPriority w:val="99"/>
    <w:semiHidden/>
    <w:unhideWhenUsed/>
    <w:rsid w:val="00FF0566"/>
    <w:pPr>
      <w:spacing w:after="120"/>
    </w:pPr>
  </w:style>
  <w:style w:type="character" w:customStyle="1" w:styleId="CorpsdetexteCar">
    <w:name w:val="Corps de texte Car"/>
    <w:basedOn w:val="Policepardfaut"/>
    <w:link w:val="Corpsdetexte"/>
    <w:uiPriority w:val="99"/>
    <w:semiHidden/>
    <w:rsid w:val="00FF0566"/>
  </w:style>
  <w:style w:type="paragraph" w:styleId="Retrait1religne">
    <w:name w:val="Body Text First Indent"/>
    <w:basedOn w:val="Corpsdetexte"/>
    <w:link w:val="Retrait1religneCar"/>
    <w:rsid w:val="00FF0566"/>
    <w:pPr>
      <w:ind w:firstLine="210"/>
    </w:pPr>
    <w:rPr>
      <w:rFonts w:ascii="Times New Roman" w:eastAsia="Times New Roman" w:hAnsi="Times New Roman" w:cs="Times New Roman"/>
      <w:noProof/>
    </w:rPr>
  </w:style>
  <w:style w:type="character" w:customStyle="1" w:styleId="Retrait1religneCar">
    <w:name w:val="Retrait 1ère ligne Car"/>
    <w:basedOn w:val="CorpsdetexteCar"/>
    <w:link w:val="Retrait1religne"/>
    <w:rsid w:val="00FF0566"/>
    <w:rPr>
      <w:rFonts w:ascii="Times New Roman" w:eastAsia="Times New Roman" w:hAnsi="Times New Roman" w:cs="Times New Roman"/>
      <w:noProof/>
    </w:rPr>
  </w:style>
  <w:style w:type="paragraph" w:styleId="Sansinterligne">
    <w:name w:val="No Spacing"/>
    <w:basedOn w:val="Retrait1religne"/>
    <w:uiPriority w:val="1"/>
    <w:qFormat/>
    <w:rsid w:val="00FF5FC0"/>
    <w:pPr>
      <w:spacing w:line="360" w:lineRule="auto"/>
    </w:pPr>
  </w:style>
  <w:style w:type="character" w:customStyle="1" w:styleId="Titre1Car">
    <w:name w:val="Titre 1 Car"/>
    <w:basedOn w:val="Policepardfaut"/>
    <w:link w:val="Titre1"/>
    <w:uiPriority w:val="9"/>
    <w:rsid w:val="00C943C9"/>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rsid w:val="00EF271B"/>
    <w:rPr>
      <w:rFonts w:ascii="Times" w:hAnsi="Times"/>
      <w:b/>
      <w:bCs/>
      <w:sz w:val="36"/>
      <w:szCs w:val="36"/>
      <w:lang w:val="fr-BE"/>
    </w:rPr>
  </w:style>
  <w:style w:type="character" w:styleId="lev">
    <w:name w:val="Strong"/>
    <w:basedOn w:val="Policepardfaut"/>
    <w:uiPriority w:val="22"/>
    <w:qFormat/>
    <w:rsid w:val="00EF271B"/>
    <w:rPr>
      <w:b/>
      <w:bCs/>
    </w:rPr>
  </w:style>
  <w:style w:type="paragraph" w:customStyle="1" w:styleId="textital">
    <w:name w:val="textital"/>
    <w:basedOn w:val="Normal"/>
    <w:rsid w:val="00EF271B"/>
    <w:pPr>
      <w:spacing w:before="100" w:beforeAutospacing="1" w:after="100" w:afterAutospacing="1"/>
    </w:pPr>
    <w:rPr>
      <w:rFonts w:ascii="Times" w:hAnsi="Times"/>
      <w:sz w:val="20"/>
      <w:szCs w:val="20"/>
      <w:lang w:val="fr-BE"/>
    </w:rPr>
  </w:style>
  <w:style w:type="paragraph" w:customStyle="1" w:styleId="textitaltiny">
    <w:name w:val="textitaltiny"/>
    <w:basedOn w:val="Normal"/>
    <w:rsid w:val="00EF271B"/>
    <w:pPr>
      <w:spacing w:before="100" w:beforeAutospacing="1" w:after="100" w:afterAutospacing="1"/>
    </w:pPr>
    <w:rPr>
      <w:rFonts w:ascii="Times" w:hAnsi="Times"/>
      <w:sz w:val="20"/>
      <w:szCs w:val="20"/>
      <w:lang w:val="fr-BE"/>
    </w:rPr>
  </w:style>
  <w:style w:type="character" w:styleId="Lienhypertexte">
    <w:name w:val="Hyperlink"/>
    <w:basedOn w:val="Policepardfaut"/>
    <w:uiPriority w:val="99"/>
    <w:unhideWhenUsed/>
    <w:rsid w:val="00EF271B"/>
    <w:rPr>
      <w:color w:val="0000FF"/>
      <w:u w:val="single"/>
    </w:rPr>
  </w:style>
  <w:style w:type="paragraph" w:styleId="NormalWeb">
    <w:name w:val="Normal (Web)"/>
    <w:basedOn w:val="Normal"/>
    <w:uiPriority w:val="99"/>
    <w:semiHidden/>
    <w:unhideWhenUsed/>
    <w:rsid w:val="00EF271B"/>
    <w:pPr>
      <w:spacing w:before="100" w:beforeAutospacing="1" w:after="100" w:afterAutospacing="1"/>
    </w:pPr>
    <w:rPr>
      <w:rFonts w:ascii="Times" w:hAnsi="Times" w:cs="Times New Roman"/>
      <w:sz w:val="20"/>
      <w:szCs w:val="20"/>
      <w:lang w:val="fr-BE"/>
    </w:rPr>
  </w:style>
  <w:style w:type="character" w:customStyle="1" w:styleId="apple-converted-space">
    <w:name w:val="apple-converted-space"/>
    <w:basedOn w:val="Policepardfaut"/>
    <w:rsid w:val="00EF271B"/>
  </w:style>
  <w:style w:type="character" w:styleId="Lienhypertextesuivi">
    <w:name w:val="FollowedHyperlink"/>
    <w:basedOn w:val="Policepardfaut"/>
    <w:uiPriority w:val="99"/>
    <w:semiHidden/>
    <w:unhideWhenUsed/>
    <w:rsid w:val="00EF271B"/>
    <w:rPr>
      <w:color w:val="800080" w:themeColor="followedHyperlink"/>
      <w:u w:val="single"/>
    </w:rPr>
  </w:style>
  <w:style w:type="paragraph" w:styleId="Paragraphedeliste">
    <w:name w:val="List Paragraph"/>
    <w:basedOn w:val="Normal"/>
    <w:uiPriority w:val="34"/>
    <w:qFormat/>
    <w:rsid w:val="00F7471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autoRedefine/>
    <w:uiPriority w:val="9"/>
    <w:qFormat/>
    <w:rsid w:val="00C943C9"/>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link w:val="Titre2Car"/>
    <w:uiPriority w:val="9"/>
    <w:qFormat/>
    <w:rsid w:val="00EF271B"/>
    <w:pPr>
      <w:spacing w:before="100" w:beforeAutospacing="1" w:after="100" w:afterAutospacing="1"/>
      <w:outlineLvl w:val="1"/>
    </w:pPr>
    <w:rPr>
      <w:rFonts w:ascii="Times" w:hAnsi="Times"/>
      <w:b/>
      <w:bCs/>
      <w:sz w:val="36"/>
      <w:szCs w:val="36"/>
      <w:lang w:val="fr-B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uiPriority w:val="99"/>
    <w:semiHidden/>
    <w:unhideWhenUsed/>
    <w:rsid w:val="00FF0566"/>
    <w:pPr>
      <w:spacing w:after="120"/>
    </w:pPr>
  </w:style>
  <w:style w:type="character" w:customStyle="1" w:styleId="CorpsdetexteCar">
    <w:name w:val="Corps de texte Car"/>
    <w:basedOn w:val="Policepardfaut"/>
    <w:link w:val="Corpsdetexte"/>
    <w:uiPriority w:val="99"/>
    <w:semiHidden/>
    <w:rsid w:val="00FF0566"/>
  </w:style>
  <w:style w:type="paragraph" w:styleId="Retrait1religne">
    <w:name w:val="Body Text First Indent"/>
    <w:basedOn w:val="Corpsdetexte"/>
    <w:link w:val="Retrait1religneCar"/>
    <w:rsid w:val="00FF0566"/>
    <w:pPr>
      <w:ind w:firstLine="210"/>
    </w:pPr>
    <w:rPr>
      <w:rFonts w:ascii="Times New Roman" w:eastAsia="Times New Roman" w:hAnsi="Times New Roman" w:cs="Times New Roman"/>
      <w:noProof/>
    </w:rPr>
  </w:style>
  <w:style w:type="character" w:customStyle="1" w:styleId="Retrait1religneCar">
    <w:name w:val="Retrait 1ère ligne Car"/>
    <w:basedOn w:val="CorpsdetexteCar"/>
    <w:link w:val="Retrait1religne"/>
    <w:rsid w:val="00FF0566"/>
    <w:rPr>
      <w:rFonts w:ascii="Times New Roman" w:eastAsia="Times New Roman" w:hAnsi="Times New Roman" w:cs="Times New Roman"/>
      <w:noProof/>
    </w:rPr>
  </w:style>
  <w:style w:type="paragraph" w:styleId="Sansinterligne">
    <w:name w:val="No Spacing"/>
    <w:basedOn w:val="Retrait1religne"/>
    <w:uiPriority w:val="1"/>
    <w:qFormat/>
    <w:rsid w:val="00FF5FC0"/>
    <w:pPr>
      <w:spacing w:line="360" w:lineRule="auto"/>
    </w:pPr>
  </w:style>
  <w:style w:type="character" w:customStyle="1" w:styleId="Titre1Car">
    <w:name w:val="Titre 1 Car"/>
    <w:basedOn w:val="Policepardfaut"/>
    <w:link w:val="Titre1"/>
    <w:uiPriority w:val="9"/>
    <w:rsid w:val="00C943C9"/>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rsid w:val="00EF271B"/>
    <w:rPr>
      <w:rFonts w:ascii="Times" w:hAnsi="Times"/>
      <w:b/>
      <w:bCs/>
      <w:sz w:val="36"/>
      <w:szCs w:val="36"/>
      <w:lang w:val="fr-BE"/>
    </w:rPr>
  </w:style>
  <w:style w:type="character" w:styleId="lev">
    <w:name w:val="Strong"/>
    <w:basedOn w:val="Policepardfaut"/>
    <w:uiPriority w:val="22"/>
    <w:qFormat/>
    <w:rsid w:val="00EF271B"/>
    <w:rPr>
      <w:b/>
      <w:bCs/>
    </w:rPr>
  </w:style>
  <w:style w:type="paragraph" w:customStyle="1" w:styleId="textital">
    <w:name w:val="textital"/>
    <w:basedOn w:val="Normal"/>
    <w:rsid w:val="00EF271B"/>
    <w:pPr>
      <w:spacing w:before="100" w:beforeAutospacing="1" w:after="100" w:afterAutospacing="1"/>
    </w:pPr>
    <w:rPr>
      <w:rFonts w:ascii="Times" w:hAnsi="Times"/>
      <w:sz w:val="20"/>
      <w:szCs w:val="20"/>
      <w:lang w:val="fr-BE"/>
    </w:rPr>
  </w:style>
  <w:style w:type="paragraph" w:customStyle="1" w:styleId="textitaltiny">
    <w:name w:val="textitaltiny"/>
    <w:basedOn w:val="Normal"/>
    <w:rsid w:val="00EF271B"/>
    <w:pPr>
      <w:spacing w:before="100" w:beforeAutospacing="1" w:after="100" w:afterAutospacing="1"/>
    </w:pPr>
    <w:rPr>
      <w:rFonts w:ascii="Times" w:hAnsi="Times"/>
      <w:sz w:val="20"/>
      <w:szCs w:val="20"/>
      <w:lang w:val="fr-BE"/>
    </w:rPr>
  </w:style>
  <w:style w:type="character" w:styleId="Lienhypertexte">
    <w:name w:val="Hyperlink"/>
    <w:basedOn w:val="Policepardfaut"/>
    <w:uiPriority w:val="99"/>
    <w:unhideWhenUsed/>
    <w:rsid w:val="00EF271B"/>
    <w:rPr>
      <w:color w:val="0000FF"/>
      <w:u w:val="single"/>
    </w:rPr>
  </w:style>
  <w:style w:type="paragraph" w:styleId="NormalWeb">
    <w:name w:val="Normal (Web)"/>
    <w:basedOn w:val="Normal"/>
    <w:uiPriority w:val="99"/>
    <w:semiHidden/>
    <w:unhideWhenUsed/>
    <w:rsid w:val="00EF271B"/>
    <w:pPr>
      <w:spacing w:before="100" w:beforeAutospacing="1" w:after="100" w:afterAutospacing="1"/>
    </w:pPr>
    <w:rPr>
      <w:rFonts w:ascii="Times" w:hAnsi="Times" w:cs="Times New Roman"/>
      <w:sz w:val="20"/>
      <w:szCs w:val="20"/>
      <w:lang w:val="fr-BE"/>
    </w:rPr>
  </w:style>
  <w:style w:type="character" w:customStyle="1" w:styleId="apple-converted-space">
    <w:name w:val="apple-converted-space"/>
    <w:basedOn w:val="Policepardfaut"/>
    <w:rsid w:val="00EF271B"/>
  </w:style>
  <w:style w:type="character" w:styleId="Lienhypertextesuivi">
    <w:name w:val="FollowedHyperlink"/>
    <w:basedOn w:val="Policepardfaut"/>
    <w:uiPriority w:val="99"/>
    <w:semiHidden/>
    <w:unhideWhenUsed/>
    <w:rsid w:val="00EF271B"/>
    <w:rPr>
      <w:color w:val="800080" w:themeColor="followedHyperlink"/>
      <w:u w:val="single"/>
    </w:rPr>
  </w:style>
  <w:style w:type="paragraph" w:styleId="Paragraphedeliste">
    <w:name w:val="List Paragraph"/>
    <w:basedOn w:val="Normal"/>
    <w:uiPriority w:val="34"/>
    <w:qFormat/>
    <w:rsid w:val="00F747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1191175">
      <w:bodyDiv w:val="1"/>
      <w:marLeft w:val="0"/>
      <w:marRight w:val="0"/>
      <w:marTop w:val="0"/>
      <w:marBottom w:val="0"/>
      <w:divBdr>
        <w:top w:val="none" w:sz="0" w:space="0" w:color="auto"/>
        <w:left w:val="none" w:sz="0" w:space="0" w:color="auto"/>
        <w:bottom w:val="none" w:sz="0" w:space="0" w:color="auto"/>
        <w:right w:val="none" w:sz="0" w:space="0" w:color="auto"/>
      </w:divBdr>
      <w:divsChild>
        <w:div w:id="1684358980">
          <w:marLeft w:val="0"/>
          <w:marRight w:val="0"/>
          <w:marTop w:val="225"/>
          <w:marBottom w:val="225"/>
          <w:divBdr>
            <w:top w:val="none" w:sz="0" w:space="0" w:color="auto"/>
            <w:left w:val="none" w:sz="0" w:space="0" w:color="auto"/>
            <w:bottom w:val="none" w:sz="0" w:space="0" w:color="auto"/>
            <w:right w:val="none" w:sz="0" w:space="0" w:color="auto"/>
          </w:divBdr>
        </w:div>
        <w:div w:id="667442130">
          <w:marLeft w:val="0"/>
          <w:marRight w:val="0"/>
          <w:marTop w:val="225"/>
          <w:marBottom w:val="225"/>
          <w:divBdr>
            <w:top w:val="none" w:sz="0" w:space="0" w:color="auto"/>
            <w:left w:val="none" w:sz="0" w:space="0" w:color="auto"/>
            <w:bottom w:val="none" w:sz="0" w:space="0" w:color="auto"/>
            <w:right w:val="none" w:sz="0" w:space="0" w:color="auto"/>
          </w:divBdr>
        </w:div>
        <w:div w:id="1372539318">
          <w:marLeft w:val="0"/>
          <w:marRight w:val="0"/>
          <w:marTop w:val="225"/>
          <w:marBottom w:val="225"/>
          <w:divBdr>
            <w:top w:val="none" w:sz="0" w:space="0" w:color="auto"/>
            <w:left w:val="none" w:sz="0" w:space="0" w:color="auto"/>
            <w:bottom w:val="none" w:sz="0" w:space="0" w:color="auto"/>
            <w:right w:val="none" w:sz="0" w:space="0" w:color="auto"/>
          </w:divBdr>
        </w:div>
        <w:div w:id="1735008560">
          <w:marLeft w:val="0"/>
          <w:marRight w:val="0"/>
          <w:marTop w:val="225"/>
          <w:marBottom w:val="225"/>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travail-emploi.gouv.fr/informations-pratiques,89/les-fiches-pratiques-du-droit-du,91/conges-et-absences-du-salarie,114/les-conges-payes,1035.html" TargetMode="External"/><Relationship Id="rId7" Type="http://schemas.openxmlformats.org/officeDocument/2006/relationships/hyperlink" Target="http://www.legifrance.gouv.fr/affichCodeArticle.do?idArticle=LEGIARTI000026268319&amp;cidTexte=LEGITEXT000006072050"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1244</Words>
  <Characters>6848</Characters>
  <Application>Microsoft Macintosh Word</Application>
  <DocSecurity>0</DocSecurity>
  <Lines>57</Lines>
  <Paragraphs>16</Paragraphs>
  <ScaleCrop>false</ScaleCrop>
  <Company/>
  <LinksUpToDate>false</LinksUpToDate>
  <CharactersWithSpaces>8076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van den Branden de Reeth</dc:creator>
  <cp:keywords/>
  <dc:description/>
  <cp:lastModifiedBy>Adrien van den Branden de Reeth</cp:lastModifiedBy>
  <cp:revision>13</cp:revision>
  <dcterms:created xsi:type="dcterms:W3CDTF">2015-12-08T13:25:00Z</dcterms:created>
  <dcterms:modified xsi:type="dcterms:W3CDTF">2015-12-14T14:18:00Z</dcterms:modified>
</cp:coreProperties>
</file>