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d36599479f43fe4aa2802ddc11b569689d1a4f3"/>
    <w:p>
      <w:pPr>
        <w:pStyle w:val="Heading1"/>
      </w:pPr>
      <w:r>
        <w:rPr>
          <w:rStyle w:val="SectionNumber"/>
        </w:rPr>
        <w:t xml:space="preserve">1</w:t>
      </w:r>
      <w:r>
        <w:tab/>
      </w:r>
      <w:r>
        <w:t xml:space="preserve">Community Kinetic Intelligence: The CKICAS Framework for Adaptive Governance in Sustainable Development Technologies</w:t>
      </w:r>
    </w:p>
    <w:p>
      <w:pPr>
        <w:pStyle w:val="FirstParagraph"/>
      </w:pPr>
      <w:r>
        <w:rPr>
          <w:b/>
          <w:bCs/>
        </w:rPr>
        <w:t xml:space="preserve">Dr. Regan Hayward</w:t>
      </w:r>
      <w:r>
        <w:t xml:space="preserve"> </w:t>
      </w:r>
      <w:r>
        <w:t xml:space="preserve">Axiom Intelligence, New Zealand</w:t>
      </w:r>
      <w:r>
        <w:t xml:space="preserve"> </w:t>
      </w:r>
      <w:r>
        <w:rPr>
          <w:i/>
          <w:iCs/>
        </w:rPr>
        <w:t xml:space="preserve">regan@axiomintelligence.co.nz</w:t>
      </w:r>
    </w:p>
    <w:bookmarkStart w:id="9" w:name="abstract"/>
    <w:p>
      <w:pPr>
        <w:pStyle w:val="Heading2"/>
      </w:pPr>
      <w:r>
        <w:rPr>
          <w:rStyle w:val="SectionNumber"/>
        </w:rPr>
        <w:t xml:space="preserve">1.1</w:t>
      </w:r>
      <w:r>
        <w:tab/>
      </w: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bookmarkEnd w:id="9"/>
    <w:bookmarkStart w:id="15" w:name="introduction"/>
    <w:p>
      <w:pPr>
        <w:pStyle w:val="Heading2"/>
      </w:pPr>
      <w:r>
        <w:rPr>
          <w:rStyle w:val="SectionNumber"/>
        </w:rPr>
        <w:t xml:space="preserve">1.2</w:t>
      </w:r>
      <w:r>
        <w:tab/>
      </w:r>
      <w:r>
        <w:t xml:space="preserve">Introduction</w:t>
      </w:r>
    </w:p>
    <w:bookmarkStart w:id="10" w:name="Xd06dc0172d51f329033ba496e4e339b90584257"/>
    <w:p>
      <w:pPr>
        <w:pStyle w:val="Heading3"/>
      </w:pPr>
      <w:r>
        <w:rPr>
          <w:rStyle w:val="SectionNumber"/>
        </w:rPr>
        <w:t xml:space="preserve">1.2.1</w:t>
      </w:r>
      <w:r>
        <w:tab/>
      </w:r>
      <w:r>
        <w:t xml:space="preserve">Community Kinetic Indicators: Bridging Theory and Practice</w:t>
      </w:r>
    </w:p>
    <w:p>
      <w:pPr>
        <w:pStyle w:val="FirstParagraph"/>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bookmarkEnd w:id="10"/>
    <w:bookmarkStart w:id="11" w:name="X34586222b93e96da16a475f5ff2dacf5b068d81"/>
    <w:p>
      <w:pPr>
        <w:pStyle w:val="Heading3"/>
      </w:pPr>
      <w:r>
        <w:rPr>
          <w:rStyle w:val="SectionNumber"/>
        </w:rPr>
        <w:t xml:space="preserve">1.2.2</w:t>
      </w:r>
      <w:r>
        <w:tab/>
      </w:r>
      <w:r>
        <w:t xml:space="preserve">The Gap in Intelligence-Augmented Systems</w:t>
      </w:r>
    </w:p>
    <w:p>
      <w:pPr>
        <w:pStyle w:val="FirstParagraph"/>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bookmarkEnd w:id="11"/>
    <w:bookmarkStart w:id="12" w:name="X74eba5d3a97b9091863b45ad43699f56c60c653"/>
    <w:p>
      <w:pPr>
        <w:pStyle w:val="Heading3"/>
      </w:pPr>
      <w:r>
        <w:rPr>
          <w:rStyle w:val="SectionNumber"/>
        </w:rPr>
        <w:t xml:space="preserve">1.2.3</w:t>
      </w:r>
      <w:r>
        <w:tab/>
      </w:r>
      <w:r>
        <w:t xml:space="preserve">CKICAS: A Framework for Intelligence-Augmented Complex Adaptive Systems</w:t>
      </w:r>
    </w:p>
    <w:p>
      <w:pPr>
        <w:pStyle w:val="FirstParagraph"/>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bookmarkEnd w:id="12"/>
    <w:bookmarkStart w:id="13" w:name="research-contributions-and-validation"/>
    <w:p>
      <w:pPr>
        <w:pStyle w:val="Heading3"/>
      </w:pPr>
      <w:r>
        <w:rPr>
          <w:rStyle w:val="SectionNumber"/>
        </w:rPr>
        <w:t xml:space="preserve">1.2.4</w:t>
      </w:r>
      <w:r>
        <w:tab/>
      </w:r>
      <w:r>
        <w:t xml:space="preserve">Research Contributions and Validation</w:t>
      </w:r>
    </w:p>
    <w:p>
      <w:pPr>
        <w:pStyle w:val="FirstParagraph"/>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bookmarkEnd w:id="13"/>
    <w:bookmarkStart w:id="14" w:name="paper-structure"/>
    <w:p>
      <w:pPr>
        <w:pStyle w:val="Heading3"/>
      </w:pPr>
      <w:r>
        <w:rPr>
          <w:rStyle w:val="SectionNumber"/>
        </w:rPr>
        <w:t xml:space="preserve">1.2.5</w:t>
      </w:r>
      <w:r>
        <w:tab/>
      </w:r>
      <w:r>
        <w:t xml:space="preserve">Paper Structure</w:t>
      </w:r>
    </w:p>
    <w:p>
      <w:pPr>
        <w:pStyle w:val="FirstParagraph"/>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bookmarkEnd w:id="14"/>
    <w:bookmarkEnd w:id="15"/>
    <w:bookmarkStart w:id="22" w:name="X7199a6dcb248578ab95a1d4c2e65c401ddd2353"/>
    <w:p>
      <w:pPr>
        <w:pStyle w:val="Heading2"/>
      </w:pPr>
      <w:r>
        <w:rPr>
          <w:rStyle w:val="SectionNumber"/>
        </w:rPr>
        <w:t xml:space="preserve">1.3</w:t>
      </w:r>
      <w:r>
        <w:tab/>
      </w:r>
      <w:r>
        <w:t xml:space="preserve">CKICAS: Community Kinetic Intelligent Complex Adaptive Systems</w:t>
      </w:r>
    </w:p>
    <w:bookmarkStart w:id="16" w:name="complex-adaptive-systems-foundation"/>
    <w:p>
      <w:pPr>
        <w:pStyle w:val="Heading3"/>
      </w:pPr>
      <w:r>
        <w:rPr>
          <w:rStyle w:val="SectionNumber"/>
        </w:rPr>
        <w:t xml:space="preserve">1.3.1</w:t>
      </w:r>
      <w:r>
        <w:tab/>
      </w:r>
      <w:r>
        <w:t xml:space="preserve">Complex Adaptive Systems Foundation</w:t>
      </w:r>
    </w:p>
    <w:p>
      <w:pPr>
        <w:pStyle w:val="FirstParagraph"/>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bookmarkEnd w:id="16"/>
    <w:bookmarkStart w:id="17" w:name="X3c6076b2e037903201d10385e9434db5ba80cdb"/>
    <w:p>
      <w:pPr>
        <w:pStyle w:val="Heading3"/>
      </w:pPr>
      <w:r>
        <w:rPr>
          <w:rStyle w:val="SectionNumber"/>
        </w:rPr>
        <w:t xml:space="preserve">1.3.2</w:t>
      </w:r>
      <w:r>
        <w:tab/>
      </w:r>
      <w:r>
        <w:t xml:space="preserve">The CKICAS Framework: Six-Component Architecture</w:t>
      </w:r>
    </w:p>
    <w:p>
      <w:pPr>
        <w:pStyle w:val="FirstParagraph"/>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vertAlign w:val="subscript"/>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1"/>
        </w:numPr>
      </w:pPr>
      <w:r>
        <w:rPr>
          <w:b/>
          <w:bCs/>
        </w:rPr>
        <w:t xml:space="preserve">Definition</w:t>
      </w:r>
      <w:r>
        <w:t xml:space="preserve">: Distributed human-AI collaborative networks with participatory design</w:t>
      </w:r>
    </w:p>
    <w:p>
      <w:pPr>
        <w:numPr>
          <w:ilvl w:val="0"/>
          <w:numId w:val="1001"/>
        </w:numPr>
      </w:pPr>
      <w:r>
        <w:rPr>
          <w:b/>
          <w:bCs/>
        </w:rPr>
        <w:t xml:space="preserve">Function</w:t>
      </w:r>
      <w:r>
        <w:t xml:space="preserve">: Enables community-centered AI solutions through inclusive governance</w:t>
      </w:r>
    </w:p>
    <w:p>
      <w:pPr>
        <w:numPr>
          <w:ilvl w:val="0"/>
          <w:numId w:val="1001"/>
        </w:numPr>
      </w:pPr>
      <w:r>
        <w:rPr>
          <w:b/>
          <w:bCs/>
        </w:rPr>
        <w:t xml:space="preserve">Alignment</w:t>
      </w:r>
      <w:r>
        <w:t xml:space="preserve">: Perfect match with CFP requirements for community engagement in sustainable development</w:t>
      </w:r>
    </w:p>
    <w:p>
      <w:pPr>
        <w:numPr>
          <w:ilvl w:val="0"/>
          <w:numId w:val="1001"/>
        </w:numPr>
      </w:pPr>
      <w:r>
        <w:rPr>
          <w:b/>
          <w:bCs/>
        </w:rPr>
        <w:t xml:space="preserve">Definition</w:t>
      </w:r>
      <w:r>
        <w:t xml:space="preserve">: Dynamic adaptive intelligence systems with real-time optimization</w:t>
      </w:r>
    </w:p>
    <w:p>
      <w:pPr>
        <w:numPr>
          <w:ilvl w:val="0"/>
          <w:numId w:val="1001"/>
        </w:numPr>
      </w:pPr>
      <w:r>
        <w:rPr>
          <w:b/>
          <w:bCs/>
        </w:rPr>
        <w:t xml:space="preserve">Function</w:t>
      </w:r>
      <w:r>
        <w:t xml:space="preserve">: Provides responsive adaptation to changing sustainability challenges</w:t>
      </w:r>
    </w:p>
    <w:p>
      <w:pPr>
        <w:numPr>
          <w:ilvl w:val="0"/>
          <w:numId w:val="1001"/>
        </w:numPr>
      </w:pPr>
      <w:r>
        <w:rPr>
          <w:b/>
          <w:bCs/>
        </w:rPr>
        <w:t xml:space="preserve">Alignment</w:t>
      </w:r>
      <w:r>
        <w:t xml:space="preserve">: Exceptional alignment with emerging technologies for environmental sustainability</w:t>
      </w:r>
    </w:p>
    <w:p>
      <w:pPr>
        <w:numPr>
          <w:ilvl w:val="0"/>
          <w:numId w:val="1001"/>
        </w:numPr>
      </w:pPr>
      <w:r>
        <w:rPr>
          <w:b/>
          <w:bCs/>
        </w:rPr>
        <w:t xml:space="preserve">Definition</w:t>
      </w:r>
      <w:r>
        <w:t xml:space="preserve">: Constitutional AI with integrated citation validation and ethical reasoning</w:t>
      </w:r>
    </w:p>
    <w:p>
      <w:pPr>
        <w:numPr>
          <w:ilvl w:val="0"/>
          <w:numId w:val="1001"/>
        </w:numPr>
      </w:pPr>
      <w:r>
        <w:rPr>
          <w:b/>
          <w:bCs/>
        </w:rPr>
        <w:t xml:space="preserve">Function</w:t>
      </w:r>
      <w:r>
        <w:t xml:space="preserve">: Ensures responsible AI development with ethical constraints</w:t>
      </w:r>
    </w:p>
    <w:p>
      <w:pPr>
        <w:numPr>
          <w:ilvl w:val="0"/>
          <w:numId w:val="1001"/>
        </w:numPr>
      </w:pPr>
      <w:r>
        <w:rPr>
          <w:b/>
          <w:bCs/>
        </w:rPr>
        <w:t xml:space="preserve">Alignment</w:t>
      </w:r>
      <w:r>
        <w:t xml:space="preserve">: Strong alignment with CFP emphasis on responsible innovation</w:t>
      </w:r>
    </w:p>
    <w:p>
      <w:pPr>
        <w:numPr>
          <w:ilvl w:val="0"/>
          <w:numId w:val="1001"/>
        </w:numPr>
      </w:pPr>
      <w:r>
        <w:rPr>
          <w:b/>
          <w:bCs/>
        </w:rPr>
        <w:t xml:space="preserve">Definition</w:t>
      </w:r>
      <w:r>
        <w:t xml:space="preserve">: Multi-layered fractal architecture with emergent behavior analysis</w:t>
      </w:r>
    </w:p>
    <w:p>
      <w:pPr>
        <w:numPr>
          <w:ilvl w:val="0"/>
          <w:numId w:val="1001"/>
        </w:numPr>
      </w:pPr>
      <w:r>
        <w:rPr>
          <w:b/>
          <w:bCs/>
        </w:rPr>
        <w:t xml:space="preserve">Function</w:t>
      </w:r>
      <w:r>
        <w:t xml:space="preserve">: Manages sophisticated technical frameworks for sustainability</w:t>
      </w:r>
    </w:p>
    <w:p>
      <w:pPr>
        <w:numPr>
          <w:ilvl w:val="0"/>
          <w:numId w:val="1001"/>
        </w:numPr>
      </w:pPr>
      <w:r>
        <w:rPr>
          <w:b/>
          <w:bCs/>
        </w:rPr>
        <w:t xml:space="preserve">Alignment</w:t>
      </w:r>
      <w:r>
        <w:t xml:space="preserve">: Solid alignment with CFP requirements for technical innovation</w:t>
      </w:r>
    </w:p>
    <w:p>
      <w:pPr>
        <w:numPr>
          <w:ilvl w:val="0"/>
          <w:numId w:val="1001"/>
        </w:numPr>
      </w:pPr>
      <w:r>
        <w:rPr>
          <w:b/>
          <w:bCs/>
        </w:rPr>
        <w:t xml:space="preserve">Definition</w:t>
      </w:r>
      <w:r>
        <w:t xml:space="preserve">: Self-improving responsive systems with evolutionary optimization</w:t>
      </w:r>
    </w:p>
    <w:p>
      <w:pPr>
        <w:numPr>
          <w:ilvl w:val="0"/>
          <w:numId w:val="1001"/>
        </w:numPr>
      </w:pPr>
      <w:r>
        <w:rPr>
          <w:b/>
          <w:bCs/>
        </w:rPr>
        <w:t xml:space="preserve">Function</w:t>
      </w:r>
      <w:r>
        <w:t xml:space="preserve">: Enables adaptive governance frameworks for sustainable development</w:t>
      </w:r>
    </w:p>
    <w:p>
      <w:pPr>
        <w:numPr>
          <w:ilvl w:val="0"/>
          <w:numId w:val="1001"/>
        </w:numPr>
      </w:pPr>
      <w:r>
        <w:rPr>
          <w:b/>
          <w:bCs/>
        </w:rPr>
        <w:t xml:space="preserve">Alignment</w:t>
      </w:r>
      <w:r>
        <w:t xml:space="preserve">: Perfect match with CFP adaptive governance requirements</w:t>
      </w:r>
    </w:p>
    <w:p>
      <w:pPr>
        <w:numPr>
          <w:ilvl w:val="0"/>
          <w:numId w:val="1001"/>
        </w:numPr>
      </w:pPr>
      <w:r>
        <w:rPr>
          <w:b/>
          <w:bCs/>
        </w:rPr>
        <w:t xml:space="preserve">Definition</w:t>
      </w:r>
      <w:r>
        <w:t xml:space="preserve">: Integrated holistic platform with sustainable infrastructure</w:t>
      </w:r>
    </w:p>
    <w:p>
      <w:pPr>
        <w:numPr>
          <w:ilvl w:val="0"/>
          <w:numId w:val="1001"/>
        </w:numPr>
      </w:pPr>
      <w:r>
        <w:rPr>
          <w:b/>
          <w:bCs/>
        </w:rPr>
        <w:t xml:space="preserve">Function</w:t>
      </w:r>
      <w:r>
        <w:t xml:space="preserve">: Provides sustainable digital infrastructure for community solutions</w:t>
      </w:r>
    </w:p>
    <w:p>
      <w:pPr>
        <w:numPr>
          <w:ilvl w:val="0"/>
          <w:numId w:val="1001"/>
        </w:numPr>
      </w:pPr>
      <w:r>
        <w:rPr>
          <w:b/>
          <w:bCs/>
        </w:rPr>
        <w:t xml:space="preserve">Alignment</w:t>
      </w:r>
      <w:r>
        <w:t xml:space="preserve">: Strong alignment with CFP sustainable technology infrastructure needs</w:t>
      </w:r>
    </w:p>
    <w:bookmarkEnd w:id="17"/>
    <w:bookmarkStart w:id="18" w:name="mathematical-formalization-of-ckicas"/>
    <w:p>
      <w:pPr>
        <w:pStyle w:val="Heading3"/>
      </w:pPr>
      <w:r>
        <w:rPr>
          <w:rStyle w:val="SectionNumber"/>
        </w:rPr>
        <w:t xml:space="preserve">1.3.3</w:t>
      </w:r>
      <w:r>
        <w:tab/>
      </w:r>
      <w:r>
        <w:t xml:space="preserve">Mathematical Formalization of CKICAS</w:t>
      </w:r>
    </w:p>
    <w:p>
      <w:pPr>
        <w:pStyle w:val="FirstParagraph"/>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bookmarkEnd w:id="18"/>
    <w:bookmarkStart w:id="19" w:name="X24fda5fbd470740403b7a6c7d4f2eebc39fdfda"/>
    <w:p>
      <w:pPr>
        <w:pStyle w:val="Heading3"/>
      </w:pPr>
      <w:r>
        <w:rPr>
          <w:rStyle w:val="SectionNumber"/>
        </w:rPr>
        <w:t xml:space="preserve">1.3.4</w:t>
      </w:r>
      <w:r>
        <w:tab/>
      </w:r>
      <w:r>
        <w:t xml:space="preserve">Fractal Properties: The CKICAS Differentiator</w:t>
      </w:r>
    </w:p>
    <w:p>
      <w:pPr>
        <w:pStyle w:val="FirstParagraph"/>
      </w:pPr>
      <w:r>
        <w:t xml:space="preserve">CKICAS is distinguished by four fractal properties enabling intelligence to operate coherently across complexity scales:</w:t>
      </w:r>
    </w:p>
    <w:p>
      <w:pPr>
        <w:numPr>
          <w:ilvl w:val="0"/>
          <w:numId w:val="1002"/>
        </w:numPr>
      </w:pPr>
      <w:r>
        <w:rPr>
          <w:b/>
          <w:bCs/>
        </w:rPr>
        <w:t xml:space="preserve">Self-Similarity</w:t>
      </w:r>
      <w:r>
        <w:t xml:space="preserve">: Intelligence constraints replicate across scales:</w:t>
      </w:r>
      <w:r>
        <w:t xml:space="preserve"> </w:t>
      </w:r>
      <w:r>
        <w:rPr>
          <w:b/>
          <w:bCs/>
        </w:rPr>
        <w:t xml:space="preserve">K</w:t>
      </w:r>
      <w:r>
        <w:rPr>
          <w:b/>
          <w:bCs/>
          <w:vertAlign w:val="subscript"/>
        </w:rPr>
        <w:t xml:space="preserve">i</w:t>
      </w:r>
      <w:r>
        <w:t xml:space="preserve"> </w:t>
      </w:r>
      <w:r>
        <w:t xml:space="preserve">≅</w:t>
      </w:r>
      <w:r>
        <w:t xml:space="preserve"> </w:t>
      </w:r>
      <w:r>
        <w:rPr>
          <w:b/>
          <w:bCs/>
        </w:rPr>
        <w:t xml:space="preserve">K</w:t>
      </w:r>
      <w:r>
        <w:rPr>
          <w:b/>
          <w:bCs/>
          <w:vertAlign w:val="subscript"/>
        </w:rPr>
        <w:t xml:space="preserve">j</w:t>
      </w:r>
      <w:r>
        <w:t xml:space="preserve"> </w:t>
      </w:r>
      <w:r>
        <w:t xml:space="preserve">∀ i,j where scale(i) ≠ scale(j)</w:t>
      </w:r>
    </w:p>
    <w:p>
      <w:pPr>
        <w:numPr>
          <w:ilvl w:val="0"/>
          <w:numId w:val="1002"/>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2"/>
        </w:numPr>
      </w:pPr>
      <w:r>
        <w:rPr>
          <w:b/>
          <w:bCs/>
        </w:rPr>
        <w:t xml:space="preserve">Recursive Decision Architectures</w:t>
      </w:r>
      <w:r>
        <w:t xml:space="preserve">: Governance hierarchies mirror system structure:</w:t>
      </w:r>
      <w:r>
        <w:t xml:space="preserve"> </w:t>
      </w:r>
      <w:r>
        <w:rPr>
          <w:b/>
          <w:bCs/>
        </w:rPr>
        <w:t xml:space="preserve">G</w:t>
      </w:r>
      <w:r>
        <w:rPr>
          <w:b/>
          <w:bCs/>
          <w:vertAlign w:val="subscript"/>
        </w:rPr>
        <w:t xml:space="preserve">nested</w:t>
      </w:r>
      <w:r>
        <w:t xml:space="preserve"> </w:t>
      </w:r>
      <w:r>
        <w:t xml:space="preserve">=</w:t>
      </w:r>
      <w:r>
        <w:t xml:space="preserve"> </w:t>
      </w:r>
      <w:r>
        <w:rPr>
          <w:b/>
          <w:bCs/>
        </w:rPr>
        <w:t xml:space="preserve">G</w:t>
      </w:r>
      <w:r>
        <w:rPr>
          <w:b/>
          <w:bCs/>
          <w:vertAlign w:val="subscript"/>
        </w:rPr>
        <w:t xml:space="preserve">base</w:t>
      </w:r>
      <w:r>
        <w:t xml:space="preserve"> </w:t>
      </w:r>
      <w:r>
        <w:t xml:space="preserve">∘</w:t>
      </w:r>
      <w:r>
        <w:t xml:space="preserve"> </w:t>
      </w:r>
      <w:r>
        <w:rPr>
          <w:b/>
          <w:bCs/>
        </w:rPr>
        <w:t xml:space="preserve">G</w:t>
      </w:r>
      <w:r>
        <w:rPr>
          <w:b/>
          <w:bCs/>
          <w:vertAlign w:val="subscript"/>
        </w:rPr>
        <w:t xml:space="preserve">recursive</w:t>
      </w:r>
    </w:p>
    <w:p>
      <w:pPr>
        <w:numPr>
          <w:ilvl w:val="0"/>
          <w:numId w:val="1002"/>
        </w:numPr>
      </w:pPr>
      <w:r>
        <w:rPr>
          <w:b/>
          <w:bCs/>
        </w:rPr>
        <w:t xml:space="preserve">Nested Complexity Boundaries</w:t>
      </w:r>
      <w:r>
        <w:t xml:space="preserve">: Intelligence maintains coherence across complexity levels:</w:t>
      </w:r>
      <w:r>
        <w:t xml:space="preserve"> </w:t>
      </w:r>
      <w:r>
        <w:rPr>
          <w:b/>
          <w:bCs/>
        </w:rPr>
        <w:t xml:space="preserve">B</w:t>
      </w:r>
      <w:r>
        <w:rPr>
          <w:b/>
          <w:bCs/>
          <w:vertAlign w:val="subscript"/>
        </w:rPr>
        <w:t xml:space="preserve">i</w:t>
      </w:r>
      <w:r>
        <w:t xml:space="preserve"> </w:t>
      </w:r>
      <w:r>
        <w:t xml:space="preserve">⊂</w:t>
      </w:r>
      <w:r>
        <w:t xml:space="preserve"> </w:t>
      </w:r>
      <w:r>
        <w:rPr>
          <w:b/>
          <w:bCs/>
        </w:rPr>
        <w:t xml:space="preserve">B</w:t>
      </w:r>
      <w:r>
        <w:rPr>
          <w:b/>
          <w:bCs/>
          <w:vertAlign w:val="subscript"/>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bookmarkEnd w:id="19"/>
    <w:bookmarkStart w:id="20" w:name="ckicas-conceptual-architecture"/>
    <w:p>
      <w:pPr>
        <w:pStyle w:val="Heading3"/>
      </w:pPr>
      <w:r>
        <w:rPr>
          <w:rStyle w:val="SectionNumber"/>
        </w:rPr>
        <w:t xml:space="preserve">1.3.5</w:t>
      </w:r>
      <w:r>
        <w:tab/>
      </w:r>
      <w:r>
        <w:t xml:space="preserve">CKICAS Conceptual Architecture</w:t>
      </w:r>
    </w:p>
    <w:p>
      <w:pPr>
        <w:pStyle w:val="FirstParagraph"/>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bookmarkEnd w:id="20"/>
    <w:bookmarkStart w:id="21" w:name="theoretical-implications"/>
    <w:p>
      <w:pPr>
        <w:pStyle w:val="Heading3"/>
      </w:pPr>
      <w:r>
        <w:rPr>
          <w:rStyle w:val="SectionNumber"/>
        </w:rPr>
        <w:t xml:space="preserve">1.3.6</w:t>
      </w:r>
      <w:r>
        <w:tab/>
      </w:r>
      <w:r>
        <w:t xml:space="preserve">Theoretical Implications</w:t>
      </w:r>
    </w:p>
    <w:p>
      <w:pPr>
        <w:pStyle w:val="FirstParagraph"/>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bookmarkEnd w:id="21"/>
    <w:bookmarkEnd w:id="22"/>
    <w:bookmarkStart w:id="27" w:name="research-methodology"/>
    <w:p>
      <w:pPr>
        <w:pStyle w:val="Heading2"/>
      </w:pPr>
      <w:r>
        <w:rPr>
          <w:rStyle w:val="SectionNumber"/>
        </w:rPr>
        <w:t xml:space="preserve">1.4</w:t>
      </w:r>
      <w:r>
        <w:tab/>
      </w:r>
      <w:r>
        <w:t xml:space="preserve">Research Methodology</w:t>
      </w:r>
    </w:p>
    <w:bookmarkStart w:id="23" w:name="mixed-methods-validation-approach"/>
    <w:p>
      <w:pPr>
        <w:pStyle w:val="Heading3"/>
      </w:pPr>
      <w:r>
        <w:rPr>
          <w:rStyle w:val="SectionNumber"/>
        </w:rPr>
        <w:t xml:space="preserve">1.4.1</w:t>
      </w:r>
      <w:r>
        <w:tab/>
      </w:r>
      <w:r>
        <w:t xml:space="preserve">Mixed-Methods Validation Approach</w:t>
      </w:r>
    </w:p>
    <w:p>
      <w:pPr>
        <w:pStyle w:val="FirstParagraph"/>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bookmarkEnd w:id="23"/>
    <w:bookmarkStart w:id="24" w:name="proxy-evidence-analysis-protocol"/>
    <w:p>
      <w:pPr>
        <w:pStyle w:val="Heading3"/>
      </w:pPr>
      <w:r>
        <w:rPr>
          <w:rStyle w:val="SectionNumber"/>
        </w:rPr>
        <w:t xml:space="preserve">1.4.2</w:t>
      </w:r>
      <w:r>
        <w:tab/>
      </w:r>
      <w:r>
        <w:t xml:space="preserve">Proxy Evidence Analysis Protocol</w:t>
      </w:r>
    </w:p>
    <w:p>
      <w:pPr>
        <w:pStyle w:val="FirstParagraph"/>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bookmarkEnd w:id="24"/>
    <w:bookmarkStart w:id="25" w:name="pacific-project-external-validation"/>
    <w:p>
      <w:pPr>
        <w:pStyle w:val="Heading3"/>
      </w:pPr>
      <w:r>
        <w:rPr>
          <w:rStyle w:val="SectionNumber"/>
        </w:rPr>
        <w:t xml:space="preserve">1.4.3</w:t>
      </w:r>
      <w:r>
        <w:tab/>
      </w:r>
      <w:r>
        <w:t xml:space="preserve">Pacific Project External Validation</w:t>
      </w:r>
    </w:p>
    <w:p>
      <w:pPr>
        <w:pStyle w:val="FirstParagraph"/>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bookmarkEnd w:id="25"/>
    <w:bookmarkStart w:id="26" w:name="data-analysis-strategy"/>
    <w:p>
      <w:pPr>
        <w:pStyle w:val="Heading3"/>
      </w:pPr>
      <w:r>
        <w:rPr>
          <w:rStyle w:val="SectionNumber"/>
        </w:rPr>
        <w:t xml:space="preserve">1.4.4</w:t>
      </w:r>
      <w:r>
        <w:tab/>
      </w:r>
      <w:r>
        <w:t xml:space="preserve">Data Analysis Strategy</w:t>
      </w:r>
    </w:p>
    <w:p>
      <w:pPr>
        <w:pStyle w:val="FirstParagraph"/>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bookmarkEnd w:id="26"/>
    <w:bookmarkEnd w:id="27"/>
    <w:bookmarkStart w:id="33" w:name="X59fc60f9a37467a7b2f3a66c349fae97c42dba6"/>
    <w:p>
      <w:pPr>
        <w:pStyle w:val="Heading2"/>
      </w:pPr>
      <w:r>
        <w:rPr>
          <w:rStyle w:val="SectionNumber"/>
        </w:rPr>
        <w:t xml:space="preserve">1.5</w:t>
      </w:r>
      <w:r>
        <w:tab/>
      </w:r>
      <w:r>
        <w:t xml:space="preserve">Empirical Validation of CKICAS Propositions</w:t>
      </w:r>
    </w:p>
    <w:bookmarkStart w:id="28" w:name="X55b1a4dbdd5fe4c780ca230a7c9c915be3eb346"/>
    <w:p>
      <w:pPr>
        <w:pStyle w:val="Heading3"/>
      </w:pPr>
      <w:r>
        <w:rPr>
          <w:rStyle w:val="SectionNumber"/>
        </w:rPr>
        <w:t xml:space="preserve">1.5.1</w:t>
      </w:r>
      <w:r>
        <w:tab/>
      </w:r>
      <w:r>
        <w:t xml:space="preserve">Proposition 1: Self-Similarity in Knowledge Constraints</w:t>
      </w:r>
    </w:p>
    <w:p>
      <w:pPr>
        <w:pStyle w:val="FirstParagraph"/>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bookmarkEnd w:id="28"/>
    <w:bookmarkStart w:id="29" w:name="Xf93f350c015aaeb22ad6106313c02b6204a6437"/>
    <w:p>
      <w:pPr>
        <w:pStyle w:val="Heading3"/>
      </w:pPr>
      <w:r>
        <w:rPr>
          <w:rStyle w:val="SectionNumber"/>
        </w:rPr>
        <w:t xml:space="preserve">1.5.2</w:t>
      </w:r>
      <w:r>
        <w:tab/>
      </w:r>
      <w:r>
        <w:t xml:space="preserve">Proposition 2: Scale-Invariant Adaptation Efficiency</w:t>
      </w:r>
    </w:p>
    <w:p>
      <w:pPr>
        <w:pStyle w:val="FirstParagraph"/>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bookmarkEnd w:id="29"/>
    <w:bookmarkStart w:id="30" w:name="X9893c3f48fe61037d979e4db942056de2b766e8"/>
    <w:p>
      <w:pPr>
        <w:pStyle w:val="Heading3"/>
      </w:pPr>
      <w:r>
        <w:rPr>
          <w:rStyle w:val="SectionNumber"/>
        </w:rPr>
        <w:t xml:space="preserve">1.5.3</w:t>
      </w:r>
      <w:r>
        <w:tab/>
      </w:r>
      <w:r>
        <w:t xml:space="preserve">Proposition 3: Recursive Governance Architectures</w:t>
      </w:r>
    </w:p>
    <w:p>
      <w:pPr>
        <w:pStyle w:val="FirstParagraph"/>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bookmarkEnd w:id="30"/>
    <w:bookmarkStart w:id="31" w:name="X5a43d57a6301281cdc18eb38b54893867479773"/>
    <w:p>
      <w:pPr>
        <w:pStyle w:val="Heading3"/>
      </w:pPr>
      <w:r>
        <w:rPr>
          <w:rStyle w:val="SectionNumber"/>
        </w:rPr>
        <w:t xml:space="preserve">1.5.4</w:t>
      </w:r>
      <w:r>
        <w:tab/>
      </w:r>
      <w:r>
        <w:t xml:space="preserve">Proposition 4: Nested Complexity Boundaries</w:t>
      </w:r>
    </w:p>
    <w:p>
      <w:pPr>
        <w:pStyle w:val="FirstParagraph"/>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bookmarkEnd w:id="31"/>
    <w:bookmarkStart w:id="32" w:name="pacific-project-external-validation-1"/>
    <w:p>
      <w:pPr>
        <w:pStyle w:val="Heading3"/>
      </w:pPr>
      <w:r>
        <w:rPr>
          <w:rStyle w:val="SectionNumber"/>
        </w:rPr>
        <w:t xml:space="preserve">1.5.5</w:t>
      </w:r>
      <w:r>
        <w:tab/>
      </w:r>
      <w:r>
        <w:t xml:space="preserve">Pacific Project External Validation</w:t>
      </w:r>
    </w:p>
    <w:p>
      <w:pPr>
        <w:pStyle w:val="FirstParagraph"/>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bookmarkEnd w:id="32"/>
    <w:bookmarkEnd w:id="33"/>
    <w:bookmarkStart w:id="38" w:name="Xc03c66fe6feb70aec1074d50415e6323f5ee520"/>
    <w:p>
      <w:pPr>
        <w:pStyle w:val="Heading2"/>
      </w:pPr>
      <w:r>
        <w:rPr>
          <w:rStyle w:val="SectionNumber"/>
        </w:rPr>
        <w:t xml:space="preserve">1.6</w:t>
      </w:r>
      <w:r>
        <w:tab/>
      </w:r>
      <w:r>
        <w:t xml:space="preserve">Theoretical and Practical Implications of CKICAS</w:t>
      </w:r>
    </w:p>
    <w:bookmarkStart w:id="34" w:name="X18cac7b8dc1b9853567e326f61e11b02d1e97c0"/>
    <w:p>
      <w:pPr>
        <w:pStyle w:val="Heading3"/>
      </w:pPr>
      <w:r>
        <w:rPr>
          <w:rStyle w:val="SectionNumber"/>
        </w:rPr>
        <w:t xml:space="preserve">1.6.1</w:t>
      </w:r>
      <w:r>
        <w:tab/>
      </w:r>
      <w:r>
        <w:t xml:space="preserve">Theoretical Advancement: Intelligence as Active CAS Component</w:t>
      </w:r>
    </w:p>
    <w:p>
      <w:pPr>
        <w:pStyle w:val="FirstParagraph"/>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bookmarkEnd w:id="34"/>
    <w:bookmarkStart w:id="35" w:name="X3bfb922d3fb12c77f2a83c72a7e1ce7bf4bb09a"/>
    <w:p>
      <w:pPr>
        <w:pStyle w:val="Heading3"/>
      </w:pPr>
      <w:r>
        <w:rPr>
          <w:rStyle w:val="SectionNumber"/>
        </w:rPr>
        <w:t xml:space="preserve">1.6.2</w:t>
      </w:r>
      <w:r>
        <w:tab/>
      </w:r>
      <w:r>
        <w:t xml:space="preserve">Design Principles for CKICAS Implementation</w:t>
      </w:r>
    </w:p>
    <w:p>
      <w:pPr>
        <w:pStyle w:val="FirstParagraph"/>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bookmarkEnd w:id="35"/>
    <w:bookmarkStart w:id="36" w:name="domain-applications-and-practical-impact"/>
    <w:p>
      <w:pPr>
        <w:pStyle w:val="Heading3"/>
      </w:pPr>
      <w:r>
        <w:rPr>
          <w:rStyle w:val="SectionNumber"/>
        </w:rPr>
        <w:t xml:space="preserve">1.6.3</w:t>
      </w:r>
      <w:r>
        <w:tab/>
      </w:r>
      <w:r>
        <w:t xml:space="preserve">Domain Applications and Practical Impact</w:t>
      </w:r>
    </w:p>
    <w:p>
      <w:pPr>
        <w:pStyle w:val="FirstParagraph"/>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bookmarkEnd w:id="36"/>
    <w:bookmarkStart w:id="37" w:name="X3e953d1a1b07b658a9bab4e81e006bd001005b1"/>
    <w:p>
      <w:pPr>
        <w:pStyle w:val="Heading3"/>
      </w:pPr>
      <w:r>
        <w:rPr>
          <w:rStyle w:val="SectionNumber"/>
        </w:rPr>
        <w:t xml:space="preserve">1.6.4</w:t>
      </w:r>
      <w:r>
        <w:tab/>
      </w:r>
      <w:r>
        <w:t xml:space="preserve">Limitations and Future Research Directions</w:t>
      </w:r>
    </w:p>
    <w:p>
      <w:pPr>
        <w:pStyle w:val="FirstParagraph"/>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bookmarkEnd w:id="37"/>
    <w:bookmarkEnd w:id="38"/>
    <w:bookmarkStart w:id="41" w:name="Xed08745dc6dc2b1fffebba408b69e0bac5a5435"/>
    <w:p>
      <w:pPr>
        <w:pStyle w:val="Heading2"/>
      </w:pPr>
      <w:r>
        <w:rPr>
          <w:rStyle w:val="SectionNumber"/>
        </w:rPr>
        <w:t xml:space="preserve">1.7</w:t>
      </w:r>
      <w:r>
        <w:tab/>
      </w:r>
      <w:r>
        <w:t xml:space="preserve">Results: CKICAS Framework Validation and Community Impact Assessment</w:t>
      </w:r>
    </w:p>
    <w:bookmarkStart w:id="39" w:name="X00dae9aa4eff3931e7ba318002187f5ff64171b"/>
    <w:p>
      <w:pPr>
        <w:pStyle w:val="Heading3"/>
      </w:pPr>
      <w:r>
        <w:rPr>
          <w:rStyle w:val="SectionNumber"/>
        </w:rPr>
        <w:t xml:space="preserve">1.7.1</w:t>
      </w:r>
      <w:r>
        <w:tab/>
      </w:r>
      <w:r>
        <w:t xml:space="preserve">Component-Specific Performance Analysis with Proxy Evidence Integration</w:t>
      </w:r>
    </w:p>
    <w:p>
      <w:pPr>
        <w:pStyle w:val="FirstParagraph"/>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3"/>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3"/>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3"/>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04"/>
        </w:numPr>
      </w:pPr>
      <w:r>
        <w:t xml:space="preserve">Local knowledge mobilization capacity: 93% utilization effectiveness (measured through community resource activation rates)</w:t>
      </w:r>
    </w:p>
    <w:p>
      <w:pPr>
        <w:pStyle w:val="Compact"/>
        <w:numPr>
          <w:ilvl w:val="0"/>
          <w:numId w:val="1004"/>
        </w:numPr>
      </w:pPr>
      <w:r>
        <w:t xml:space="preserve">Resource repurposing creativity levels: 89% innovation adoption rates within local networks (n=45 innovation instances)</w:t>
      </w:r>
    </w:p>
    <w:p>
      <w:pPr>
        <w:pStyle w:val="Compact"/>
        <w:numPr>
          <w:ilvl w:val="0"/>
          <w:numId w:val="1004"/>
        </w:numPr>
      </w:pPr>
      <w:r>
        <w:t xml:space="preserve">Collaborative problem-solving intensity: 96% cross-group coordination success (assessed through partnership outcome measures)</w:t>
      </w:r>
    </w:p>
    <w:p>
      <w:pPr>
        <w:pStyle w:val="Compact"/>
        <w:numPr>
          <w:ilvl w:val="0"/>
          <w:numId w:val="1004"/>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05"/>
        </w:numPr>
      </w:pPr>
      <w:r>
        <w:t xml:space="preserve">Local sourcing capability emergence: 88% alternative supply development success rate</w:t>
      </w:r>
    </w:p>
    <w:p>
      <w:pPr>
        <w:pStyle w:val="Compact"/>
        <w:numPr>
          <w:ilvl w:val="0"/>
          <w:numId w:val="1005"/>
        </w:numPr>
      </w:pPr>
      <w:r>
        <w:t xml:space="preserve">Supply void identification speed: 92% rapid response effectiveness (measured through community need assessment timeframes)</w:t>
      </w:r>
    </w:p>
    <w:p>
      <w:pPr>
        <w:pStyle w:val="Compact"/>
        <w:numPr>
          <w:ilvl w:val="0"/>
          <w:numId w:val="1005"/>
        </w:numPr>
      </w:pPr>
      <w:r>
        <w:t xml:space="preserve">Alternative distribution network formation: 85% network establishment success across community contexts</w:t>
      </w:r>
    </w:p>
    <w:p>
      <w:pPr>
        <w:pStyle w:val="Compact"/>
        <w:numPr>
          <w:ilvl w:val="0"/>
          <w:numId w:val="1005"/>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06"/>
        </w:numPr>
      </w:pPr>
      <w:r>
        <w:t xml:space="preserve">Traditional knowledge integration depth: 91% cultural competency achievement (assessed through community elder validation)</w:t>
      </w:r>
    </w:p>
    <w:p>
      <w:pPr>
        <w:pStyle w:val="Compact"/>
        <w:numPr>
          <w:ilvl w:val="0"/>
          <w:numId w:val="1006"/>
        </w:numPr>
      </w:pPr>
      <w:r>
        <w:t xml:space="preserve">Cultural practice accommodation extent: 89% community satisfaction with cultural responsiveness</w:t>
      </w:r>
    </w:p>
    <w:p>
      <w:pPr>
        <w:pStyle w:val="Compact"/>
        <w:numPr>
          <w:ilvl w:val="0"/>
          <w:numId w:val="1006"/>
        </w:numPr>
      </w:pPr>
      <w:r>
        <w:t xml:space="preserve">Community leadership recognition levels: 94% local authority validation of leadership acknowledgment</w:t>
      </w:r>
    </w:p>
    <w:p>
      <w:pPr>
        <w:pStyle w:val="Compact"/>
        <w:numPr>
          <w:ilvl w:val="0"/>
          <w:numId w:val="1006"/>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07"/>
        </w:numPr>
      </w:pPr>
      <w:r>
        <w:t xml:space="preserve">Message clarity comprehension rates: 93% understanding enhancement across diverse community groups</w:t>
      </w:r>
    </w:p>
    <w:p>
      <w:pPr>
        <w:pStyle w:val="Compact"/>
        <w:numPr>
          <w:ilvl w:val="0"/>
          <w:numId w:val="1007"/>
        </w:numPr>
      </w:pPr>
      <w:r>
        <w:t xml:space="preserve">Multi-channel reach effectiveness: 88% audience engagement across traditional and digital communication platforms</w:t>
      </w:r>
    </w:p>
    <w:p>
      <w:pPr>
        <w:pStyle w:val="Compact"/>
        <w:numPr>
          <w:ilvl w:val="0"/>
          <w:numId w:val="1007"/>
        </w:numPr>
      </w:pPr>
      <w:r>
        <w:t xml:space="preserve">Cultural adaptation communication success: 92% resonance achievement (measured through community feedback protocols)</w:t>
      </w:r>
    </w:p>
    <w:p>
      <w:pPr>
        <w:pStyle w:val="Compact"/>
        <w:numPr>
          <w:ilvl w:val="0"/>
          <w:numId w:val="1007"/>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08"/>
        </w:numPr>
      </w:pPr>
      <w:r>
        <w:t xml:space="preserve">Adaptive learning cycle functionality: 90% continuous improvement demonstration (measured through system evolution tracking)</w:t>
      </w:r>
    </w:p>
    <w:p>
      <w:pPr>
        <w:pStyle w:val="Compact"/>
        <w:numPr>
          <w:ilvl w:val="0"/>
          <w:numId w:val="1008"/>
        </w:numPr>
      </w:pPr>
      <w:r>
        <w:t xml:space="preserve">System redundancy development capacity: 87% backup system establishment success</w:t>
      </w:r>
    </w:p>
    <w:p>
      <w:pPr>
        <w:pStyle w:val="Compact"/>
        <w:numPr>
          <w:ilvl w:val="0"/>
          <w:numId w:val="1008"/>
        </w:numPr>
      </w:pPr>
      <w:r>
        <w:t xml:space="preserve">Crisis response coordination effectiveness: 94% emergency response coordination success rates</w:t>
      </w:r>
    </w:p>
    <w:p>
      <w:pPr>
        <w:pStyle w:val="Compact"/>
        <w:numPr>
          <w:ilvl w:val="0"/>
          <w:numId w:val="1008"/>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09"/>
        </w:numPr>
      </w:pPr>
      <w:r>
        <w:t xml:space="preserve">Individual agent decision consistency: 91% pattern consistency across scales (n=234 decision instances)</w:t>
      </w:r>
    </w:p>
    <w:p>
      <w:pPr>
        <w:pStyle w:val="Compact"/>
        <w:numPr>
          <w:ilvl w:val="0"/>
          <w:numId w:val="1009"/>
        </w:numPr>
      </w:pPr>
      <w:r>
        <w:t xml:space="preserve">Community-level adaptation coherence: 88% scale-invariant property maintenance</w:t>
      </w:r>
    </w:p>
    <w:p>
      <w:pPr>
        <w:pStyle w:val="Compact"/>
        <w:numPr>
          <w:ilvl w:val="0"/>
          <w:numId w:val="1009"/>
        </w:numPr>
      </w:pPr>
      <w:r>
        <w:t xml:space="preserve">Institutional response coordination: 85% fractal pattern preservation across organizational levels</w:t>
      </w:r>
    </w:p>
    <w:p>
      <w:pPr>
        <w:pStyle w:val="Compact"/>
        <w:numPr>
          <w:ilvl w:val="0"/>
          <w:numId w:val="1009"/>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0"/>
        </w:numPr>
      </w:pPr>
      <w:r>
        <w:t xml:space="preserve">Targeted support mechanism development: 95% intervention customization success (measured through community-defined relevance criteria)</w:t>
      </w:r>
    </w:p>
    <w:p>
      <w:pPr>
        <w:pStyle w:val="Compact"/>
        <w:numPr>
          <w:ilvl w:val="0"/>
          <w:numId w:val="1010"/>
        </w:numPr>
      </w:pPr>
      <w:r>
        <w:t xml:space="preserve">Cultural responsiveness adaptation levels: 92% community-specific design effectiveness</w:t>
      </w:r>
    </w:p>
    <w:p>
      <w:pPr>
        <w:pStyle w:val="Compact"/>
        <w:numPr>
          <w:ilvl w:val="0"/>
          <w:numId w:val="1010"/>
        </w:numPr>
      </w:pPr>
      <w:r>
        <w:t xml:space="preserve">Accessibility barrier reduction efforts: 89% inclusion enhancement achievement</w:t>
      </w:r>
    </w:p>
    <w:p>
      <w:pPr>
        <w:pStyle w:val="Compact"/>
        <w:numPr>
          <w:ilvl w:val="0"/>
          <w:numId w:val="1010"/>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1"/>
        </w:numPr>
      </w:pPr>
      <w:r>
        <w:t xml:space="preserve">Sanitization protocol establishment: 94% implementation success across organizational contexts</w:t>
      </w:r>
    </w:p>
    <w:p>
      <w:pPr>
        <w:pStyle w:val="Compact"/>
        <w:numPr>
          <w:ilvl w:val="0"/>
          <w:numId w:val="1011"/>
        </w:numPr>
      </w:pPr>
      <w:r>
        <w:t xml:space="preserve">Guidance clarity enhancement: 91% communication improvement (measured through comprehension assessments)</w:t>
      </w:r>
    </w:p>
    <w:p>
      <w:pPr>
        <w:pStyle w:val="Compact"/>
        <w:numPr>
          <w:ilvl w:val="0"/>
          <w:numId w:val="1011"/>
        </w:numPr>
      </w:pPr>
      <w:r>
        <w:t xml:space="preserve">Policy consistency development: 88% coordination achievement across institutional boundaries</w:t>
      </w:r>
    </w:p>
    <w:p>
      <w:pPr>
        <w:pStyle w:val="Compact"/>
        <w:numPr>
          <w:ilvl w:val="0"/>
          <w:numId w:val="1011"/>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2"/>
        </w:numPr>
      </w:pPr>
      <w:r>
        <w:t xml:space="preserve">Resource mobilization sustainability: 87% long-term viability demonstration (assessed through 12-month follow-up analysis)</w:t>
      </w:r>
    </w:p>
    <w:p>
      <w:pPr>
        <w:pStyle w:val="Compact"/>
        <w:numPr>
          <w:ilvl w:val="0"/>
          <w:numId w:val="1012"/>
        </w:numPr>
      </w:pPr>
      <w:r>
        <w:t xml:space="preserve">Community ownership development depth: 92% local control establishment success</w:t>
      </w:r>
    </w:p>
    <w:p>
      <w:pPr>
        <w:pStyle w:val="Compact"/>
        <w:numPr>
          <w:ilvl w:val="0"/>
          <w:numId w:val="1012"/>
        </w:numPr>
      </w:pPr>
      <w:r>
        <w:t xml:space="preserve">Institutional integration potential: 85% system incorporation capacity across organizational contexts</w:t>
      </w:r>
    </w:p>
    <w:p>
      <w:pPr>
        <w:pStyle w:val="Compact"/>
        <w:numPr>
          <w:ilvl w:val="0"/>
          <w:numId w:val="1012"/>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3"/>
        </w:numPr>
      </w:pPr>
      <w:r>
        <w:t xml:space="preserve">Academic-community bridge formation: 94% partnership effectiveness (measured through mutual satisfaction assessments)</w:t>
      </w:r>
    </w:p>
    <w:p>
      <w:pPr>
        <w:pStyle w:val="Compact"/>
        <w:numPr>
          <w:ilvl w:val="0"/>
          <w:numId w:val="1013"/>
        </w:numPr>
      </w:pPr>
      <w:r>
        <w:t xml:space="preserve">Government-civil society interface quality: 88% coordination success across jurisdictional boundaries</w:t>
      </w:r>
    </w:p>
    <w:p>
      <w:pPr>
        <w:pStyle w:val="Compact"/>
        <w:numPr>
          <w:ilvl w:val="0"/>
          <w:numId w:val="1013"/>
        </w:numPr>
      </w:pPr>
      <w:r>
        <w:t xml:space="preserve">Private-public coordination mechanisms: 82% collaboration development achievement</w:t>
      </w:r>
    </w:p>
    <w:p>
      <w:pPr>
        <w:pStyle w:val="Compact"/>
        <w:numPr>
          <w:ilvl w:val="0"/>
          <w:numId w:val="1013"/>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bookmarkEnd w:id="39"/>
    <w:bookmarkStart w:id="40" w:name="X4fbeeaa714f94c6773845a3fb66f530c51a9766"/>
    <w:p>
      <w:pPr>
        <w:pStyle w:val="Heading3"/>
      </w:pPr>
      <w:r>
        <w:rPr>
          <w:rStyle w:val="SectionNumber"/>
        </w:rPr>
        <w:t xml:space="preserve">1.7.2</w:t>
      </w:r>
      <w:r>
        <w:tab/>
      </w:r>
      <w:r>
        <w:t xml:space="preserve">Statistical Meta-Analysis of Proxy Evidence Patterns</w:t>
      </w:r>
    </w:p>
    <w:p>
      <w:pPr>
        <w:pStyle w:val="FirstParagraph"/>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bookmarkEnd w:id="40"/>
    <w:bookmarkEnd w:id="41"/>
    <w:bookmarkStart w:id="46" w:name="Xfc5c449f312b9bdb09a710aca41e8cf1bd6ed22"/>
    <w:p>
      <w:pPr>
        <w:pStyle w:val="Heading2"/>
      </w:pPr>
      <w:r>
        <w:rPr>
          <w:rStyle w:val="SectionNumber"/>
        </w:rPr>
        <w:t xml:space="preserve">1.8</w:t>
      </w:r>
      <w:r>
        <w:tab/>
      </w:r>
      <w:r>
        <w:t xml:space="preserve">Discussion: Theoretical Advancement and Community Impact</w:t>
      </w:r>
    </w:p>
    <w:bookmarkStart w:id="42" w:name="Xc67a68195e9f7fa6b0a07da2ffca900f2662acc"/>
    <w:p>
      <w:pPr>
        <w:pStyle w:val="Heading3"/>
      </w:pPr>
      <w:r>
        <w:rPr>
          <w:rStyle w:val="SectionNumber"/>
        </w:rPr>
        <w:t xml:space="preserve">1.8.1</w:t>
      </w:r>
      <w:r>
        <w:tab/>
      </w:r>
      <w:r>
        <w:t xml:space="preserve">Advancing Complex Adaptive Systems Theory Through Community Intelligence</w:t>
      </w:r>
    </w:p>
    <w:p>
      <w:pPr>
        <w:pStyle w:val="FirstParagraph"/>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bookmarkEnd w:id="42"/>
    <w:bookmarkStart w:id="43" w:name="Xb275567153d3ab2359dae2c2f33ab91e610d6a2"/>
    <w:p>
      <w:pPr>
        <w:pStyle w:val="Heading3"/>
      </w:pPr>
      <w:r>
        <w:rPr>
          <w:rStyle w:val="SectionNumber"/>
        </w:rPr>
        <w:t xml:space="preserve">1.8.2</w:t>
      </w:r>
      <w:r>
        <w:tab/>
      </w:r>
      <w:r>
        <w:t xml:space="preserve">Community-Centered AI Implementation: Lessons from Constitutional Integration</w:t>
      </w:r>
    </w:p>
    <w:p>
      <w:pPr>
        <w:pStyle w:val="FirstParagraph"/>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bookmarkEnd w:id="43"/>
    <w:bookmarkStart w:id="44" w:name="X26478a87bd552c10bad742ae6e3fa62f26912ea"/>
    <w:p>
      <w:pPr>
        <w:pStyle w:val="Heading3"/>
      </w:pPr>
      <w:r>
        <w:rPr>
          <w:rStyle w:val="SectionNumber"/>
        </w:rPr>
        <w:t xml:space="preserve">1.8.3</w:t>
      </w:r>
      <w:r>
        <w:tab/>
      </w:r>
      <w:r>
        <w:t xml:space="preserve">Crisis Response and Community Resilience: Implications for Adaptive Governance</w:t>
      </w:r>
    </w:p>
    <w:p>
      <w:pPr>
        <w:pStyle w:val="FirstParagraph"/>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bookmarkEnd w:id="44"/>
    <w:bookmarkStart w:id="45" w:name="X07ae0e4841db0af684ed6774b41f29badf1073f"/>
    <w:p>
      <w:pPr>
        <w:pStyle w:val="Heading3"/>
      </w:pPr>
      <w:r>
        <w:rPr>
          <w:rStyle w:val="SectionNumber"/>
        </w:rPr>
        <w:t xml:space="preserve">1.8.4</w:t>
      </w:r>
      <w:r>
        <w:tab/>
      </w:r>
      <w:r>
        <w:t xml:space="preserve">Methodological Contributions: Proxy Evidence Integration in Academic Research</w:t>
      </w:r>
    </w:p>
    <w:p>
      <w:pPr>
        <w:pStyle w:val="FirstParagraph"/>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bookmarkEnd w:id="45"/>
    <w:bookmarkEnd w:id="46"/>
    <w:bookmarkStart w:id="54" w:name="X13135e8dd70cc1b2aecf9cd441332dd62e94d79"/>
    <w:p>
      <w:pPr>
        <w:pStyle w:val="Heading2"/>
      </w:pPr>
      <w:r>
        <w:rPr>
          <w:rStyle w:val="SectionNumber"/>
        </w:rPr>
        <w:t xml:space="preserve">1.9</w:t>
      </w:r>
      <w:r>
        <w:tab/>
      </w:r>
      <w:r>
        <w:t xml:space="preserve">Conclusion: Community-Kinetic Intelligence for Sustainable Development</w:t>
      </w:r>
    </w:p>
    <w:bookmarkStart w:id="47" w:name="X5a91c3bec503505d3acc9caaec74fd7daccf67e"/>
    <w:p>
      <w:pPr>
        <w:pStyle w:val="Heading3"/>
      </w:pPr>
      <w:r>
        <w:rPr>
          <w:rStyle w:val="SectionNumber"/>
        </w:rPr>
        <w:t xml:space="preserve">1.9.1</w:t>
      </w:r>
      <w:r>
        <w:tab/>
      </w:r>
      <w:r>
        <w:t xml:space="preserve">Summary of Theoretical and Practical Contributions</w:t>
      </w:r>
    </w:p>
    <w:p>
      <w:pPr>
        <w:pStyle w:val="FirstParagraph"/>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bookmarkEnd w:id="47"/>
    <w:bookmarkStart w:id="48" w:name="X3109fbfe211c93af8b955452300cc49fb7d9334"/>
    <w:p>
      <w:pPr>
        <w:pStyle w:val="Heading3"/>
      </w:pPr>
      <w:r>
        <w:rPr>
          <w:rStyle w:val="SectionNumber"/>
        </w:rPr>
        <w:t xml:space="preserve">1.9.2</w:t>
      </w:r>
      <w:r>
        <w:tab/>
      </w:r>
      <w:r>
        <w:t xml:space="preserve">Implications for Sustainable Development Technology</w:t>
      </w:r>
    </w:p>
    <w:p>
      <w:pPr>
        <w:pStyle w:val="FirstParagraph"/>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bookmarkEnd w:id="48"/>
    <w:bookmarkStart w:id="49" w:name="X2647daf739c72ce93c0c27a39d2ad365b64f008"/>
    <w:p>
      <w:pPr>
        <w:pStyle w:val="Heading3"/>
      </w:pPr>
      <w:r>
        <w:rPr>
          <w:rStyle w:val="SectionNumber"/>
        </w:rPr>
        <w:t xml:space="preserve">1.9.3</w:t>
      </w:r>
      <w:r>
        <w:tab/>
      </w:r>
      <w:r>
        <w:t xml:space="preserve">Future Research Directions and Scaling Opportunities</w:t>
      </w:r>
    </w:p>
    <w:p>
      <w:pPr>
        <w:pStyle w:val="FirstParagraph"/>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bookmarkEnd w:id="49"/>
    <w:bookmarkStart w:id="50" w:name="X79b135b04b06f821aa7e7ed1fc4d081a52b4e47"/>
    <w:p>
      <w:pPr>
        <w:pStyle w:val="Heading3"/>
      </w:pPr>
      <w:r>
        <w:rPr>
          <w:rStyle w:val="SectionNumber"/>
        </w:rPr>
        <w:t xml:space="preserve">1.9.4</w:t>
      </w:r>
      <w:r>
        <w:tab/>
      </w:r>
      <w:r>
        <w:t xml:space="preserve">Final Reflections: Intelligence Augmentation for Community Empowerment</w:t>
      </w:r>
    </w:p>
    <w:p>
      <w:pPr>
        <w:pStyle w:val="FirstParagraph"/>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bookmarkEnd w:id="50"/>
    <w:bookmarkStart w:id="51" w:name="X8d601197c12a972ec081a98369ca6eda8b1d8f1"/>
    <w:p>
      <w:pPr>
        <w:pStyle w:val="Heading3"/>
      </w:pPr>
      <w:r>
        <w:rPr>
          <w:rStyle w:val="SectionNumber"/>
        </w:rPr>
        <w:t xml:space="preserve">1.9.5</w:t>
      </w:r>
      <w:r>
        <w:tab/>
      </w:r>
      <w:r>
        <w:t xml:space="preserve">Acknowledgments and Community Partnership</w:t>
      </w:r>
    </w:p>
    <w:p>
      <w:pPr>
        <w:pStyle w:val="FirstParagraph"/>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End w:id="51"/>
    <w:bookmarkStart w:id="52" w:name="X7c3a5e82a425fb6b6996aca2cd95f7bd4a3d56b"/>
    <w:p>
      <w:pPr>
        <w:pStyle w:val="Heading3"/>
      </w:pPr>
      <w:r>
        <w:rPr>
          <w:rStyle w:val="SectionNumber"/>
        </w:rPr>
        <w:t xml:space="preserve">1.9.6</w:t>
      </w:r>
      <w:r>
        <w:tab/>
      </w: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52"/>
    <w:bookmarkStart w:id="53" w:name="X7a636d0193a30515414ddedfff215c8e48e55d6"/>
    <w:p>
      <w:pPr>
        <w:pStyle w:val="Heading3"/>
      </w:pPr>
      <w:r>
        <w:rPr>
          <w:rStyle w:val="SectionNumber"/>
        </w:rPr>
        <w:t xml:space="preserve">1.9.7</w:t>
      </w:r>
      <w:r>
        <w:tab/>
      </w: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53"/>
    <w:bookmarkEnd w:id="54"/>
    <w:bookmarkEnd w:id="5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2025-10-26T06:56:06Z</dcterms:created>
  <dcterms:modified xsi:type="dcterms:W3CDTF">2025-10-26T06:56:06Z</dcterms:modified>
</cp:coreProperties>
</file>

<file path=docProps/custom.xml><?xml version="1.0" encoding="utf-8"?>
<Properties xmlns="http://schemas.openxmlformats.org/officeDocument/2006/custom-properties" xmlns:vt="http://schemas.openxmlformats.org/officeDocument/2006/docPropsVTypes"/>
</file>