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d36599479f43fe4aa2802ddc11b569689d1a4f3"/>
    <w:p>
      <w:pPr>
        <w:pStyle w:val="Heading1"/>
      </w:pPr>
      <w:r>
        <w:rPr>
          <w:rStyle w:val="SectionNumber"/>
        </w:rPr>
        <w:t xml:space="preserve">1</w:t>
      </w:r>
      <w:r>
        <w:tab/>
      </w:r>
      <w:r>
        <w:t xml:space="preserve">Community Kinetic Intelligence: The CKICAS Framework for Adaptive Governance in Sustainable Development Technologies</w:t>
      </w:r>
    </w:p>
    <w:p>
      <w:pPr>
        <w:pStyle w:val="FirstParagraph"/>
      </w:pPr>
      <w:r>
        <w:rPr>
          <w:b/>
          <w:bCs/>
        </w:rPr>
        <w:t xml:space="preserve">Dr. Regan Hayward</w:t>
      </w:r>
      <w:r>
        <w:t xml:space="preserve"> </w:t>
      </w:r>
      <w:r>
        <w:t xml:space="preserve">Axiom Intelligence, New Zealand</w:t>
      </w:r>
      <w:r>
        <w:t xml:space="preserve"> </w:t>
      </w:r>
      <w:r>
        <w:rPr>
          <w:i/>
          <w:iCs/>
        </w:rPr>
        <w:t xml:space="preserve">regan@axiomintelligence.co.nz</w:t>
      </w:r>
    </w:p>
    <w:bookmarkStart w:id="9" w:name="abstract"/>
    <w:p>
      <w:pPr>
        <w:pStyle w:val="Heading2"/>
      </w:pPr>
      <w:r>
        <w:rPr>
          <w:rStyle w:val="SectionNumber"/>
        </w:rPr>
        <w:t xml:space="preserve">1.1</w:t>
      </w:r>
      <w:r>
        <w:tab/>
      </w:r>
      <w:r>
        <w:t xml:space="preserve">Abstract</w:t>
      </w:r>
    </w:p>
    <w:p>
      <w:pPr>
        <w:pStyle w:val="FirstParagraph"/>
      </w:pPr>
      <w:r>
        <w:t xml:space="preserve">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pStyle w:val="BodyText"/>
      </w:pPr>
      <w:r>
        <w:t xml:space="preserve">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pStyle w:val="BodyText"/>
      </w:pPr>
      <w:r>
        <w:t xml:space="preserve">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pStyle w:val="BodyText"/>
      </w:pPr>
      <w:r>
        <w:t xml:space="preserve">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pStyle w:val="BodyText"/>
      </w:pPr>
      <w:r>
        <w:t xml:space="preserve">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pStyle w:val="BodyText"/>
      </w:pPr>
      <w:r>
        <w:t xml:space="preserve">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pStyle w:val="BodyText"/>
      </w:pPr>
      <w:r>
        <w:t xml:space="preserve">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pStyle w:val="BodyText"/>
      </w:pPr>
      <w:r>
        <w:rPr>
          <w:b/>
          <w:bCs/>
        </w:rPr>
        <w:t xml:space="preserve">Keywords:</w:t>
      </w:r>
      <w:r>
        <w:t xml:space="preserve"> </w:t>
      </w:r>
      <w:r>
        <w:t xml:space="preserve">Community kinetic intelligence, constitutional AI, sustainable development, fractal properties, human-AI teaming, adaptive governance</w:t>
      </w:r>
    </w:p>
    <w:bookmarkEnd w:id="9"/>
    <w:bookmarkStart w:id="15" w:name="introduction"/>
    <w:p>
      <w:pPr>
        <w:pStyle w:val="Heading2"/>
      </w:pPr>
      <w:r>
        <w:rPr>
          <w:rStyle w:val="SectionNumber"/>
        </w:rPr>
        <w:t xml:space="preserve">1.2</w:t>
      </w:r>
      <w:r>
        <w:tab/>
      </w:r>
      <w:r>
        <w:t xml:space="preserve">Introduction</w:t>
      </w:r>
    </w:p>
    <w:bookmarkStart w:id="10" w:name="Xd06dc0172d51f329033ba496e4e339b90584257"/>
    <w:p>
      <w:pPr>
        <w:pStyle w:val="Heading3"/>
      </w:pPr>
      <w:r>
        <w:rPr>
          <w:rStyle w:val="SectionNumber"/>
        </w:rPr>
        <w:t xml:space="preserve">1.2.1</w:t>
      </w:r>
      <w:r>
        <w:tab/>
      </w:r>
      <w:r>
        <w:t xml:space="preserve">Community Kinetic Indicators: Bridging Theory and Practice</w:t>
      </w:r>
    </w:p>
    <w:p>
      <w:pPr>
        <w:pStyle w:val="FirstParagraph"/>
      </w:pPr>
      <w:r>
        <w:t xml:space="preserve">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pStyle w:val="BodyText"/>
      </w:pPr>
      <w:r>
        <w:t xml:space="preserve">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pStyle w:val="BodyText"/>
      </w:pPr>
      <w:r>
        <w:t xml:space="preserve">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pStyle w:val="BodyText"/>
      </w:pPr>
      <w:r>
        <w:t xml:space="preserve">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pStyle w:val="BodyText"/>
      </w:pPr>
      <w:r>
        <w:t xml:space="preserve">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pStyle w:val="BodyText"/>
      </w:pPr>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r>
        <w:t xml:space="preserve"> </w:t>
      </w:r>
      <w:r>
        <w:t xml:space="preserve">### The Intelligence Augmentation Imperative</w:t>
      </w:r>
    </w:p>
    <w:p>
      <w:pPr>
        <w:pStyle w:val="BodyText"/>
      </w:pPr>
      <w:r>
        <w:t xml:space="preserve">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pStyle w:val="BodyText"/>
      </w:pPr>
      <w:r>
        <w:t xml:space="preserve">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bookmarkEnd w:id="10"/>
    <w:bookmarkStart w:id="11" w:name="X34586222b93e96da16a475f5ff2dacf5b068d81"/>
    <w:p>
      <w:pPr>
        <w:pStyle w:val="Heading3"/>
      </w:pPr>
      <w:r>
        <w:rPr>
          <w:rStyle w:val="SectionNumber"/>
        </w:rPr>
        <w:t xml:space="preserve">1.2.2</w:t>
      </w:r>
      <w:r>
        <w:tab/>
      </w:r>
      <w:r>
        <w:t xml:space="preserve">The Gap in Intelligence-Augmented Systems</w:t>
      </w:r>
    </w:p>
    <w:p>
      <w:pPr>
        <w:pStyle w:val="FirstParagraph"/>
      </w:pPr>
      <w:r>
        <w:t xml:space="preserve">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pStyle w:val="BodyText"/>
      </w:pPr>
      <w:r>
        <w:t xml:space="preserve">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pStyle w:val="BodyText"/>
      </w:pPr>
      <w:r>
        <w:t xml:space="preserve">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bookmarkEnd w:id="11"/>
    <w:bookmarkStart w:id="12" w:name="X74eba5d3a97b9091863b45ad43699f56c60c653"/>
    <w:p>
      <w:pPr>
        <w:pStyle w:val="Heading3"/>
      </w:pPr>
      <w:r>
        <w:rPr>
          <w:rStyle w:val="SectionNumber"/>
        </w:rPr>
        <w:t xml:space="preserve">1.2.3</w:t>
      </w:r>
      <w:r>
        <w:tab/>
      </w:r>
      <w:r>
        <w:t xml:space="preserve">CKICAS: A Framework for Intelligence-Augmented Complex Adaptive Systems</w:t>
      </w:r>
    </w:p>
    <w:p>
      <w:pPr>
        <w:pStyle w:val="FirstParagraph"/>
      </w:pPr>
      <w:r>
        <w:t xml:space="preserve">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pStyle w:val="BodyText"/>
      </w:pPr>
      <w:r>
        <w:t xml:space="preserve">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bookmarkEnd w:id="12"/>
    <w:bookmarkStart w:id="13" w:name="research-contributions-and-validation"/>
    <w:p>
      <w:pPr>
        <w:pStyle w:val="Heading3"/>
      </w:pPr>
      <w:r>
        <w:rPr>
          <w:rStyle w:val="SectionNumber"/>
        </w:rPr>
        <w:t xml:space="preserve">1.2.4</w:t>
      </w:r>
      <w:r>
        <w:tab/>
      </w:r>
      <w:r>
        <w:t xml:space="preserve">Research Contributions and Validation</w:t>
      </w:r>
    </w:p>
    <w:p>
      <w:pPr>
        <w:pStyle w:val="FirstParagraph"/>
      </w:pPr>
      <w:r>
        <w:t xml:space="preserve">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pStyle w:val="BodyText"/>
      </w:pPr>
      <w:r>
        <w:t xml:space="preserve">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bookmarkEnd w:id="13"/>
    <w:bookmarkStart w:id="14" w:name="paper-structure"/>
    <w:p>
      <w:pPr>
        <w:pStyle w:val="Heading3"/>
      </w:pPr>
      <w:r>
        <w:rPr>
          <w:rStyle w:val="SectionNumber"/>
        </w:rPr>
        <w:t xml:space="preserve">1.2.5</w:t>
      </w:r>
      <w:r>
        <w:tab/>
      </w:r>
      <w:r>
        <w:t xml:space="preserve">Paper Structure</w:t>
      </w:r>
    </w:p>
    <w:p>
      <w:pPr>
        <w:pStyle w:val="FirstParagraph"/>
      </w:pPr>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pStyle w:val="BodyText"/>
      </w:pPr>
      <w:r>
        <w:t xml:space="preserve">(798 words)</w:t>
      </w:r>
    </w:p>
    <w:bookmarkEnd w:id="14"/>
    <w:bookmarkEnd w:id="15"/>
    <w:bookmarkStart w:id="22" w:name="X7199a6dcb248578ab95a1d4c2e65c401ddd2353"/>
    <w:p>
      <w:pPr>
        <w:pStyle w:val="Heading2"/>
      </w:pPr>
      <w:r>
        <w:rPr>
          <w:rStyle w:val="SectionNumber"/>
        </w:rPr>
        <w:t xml:space="preserve">1.3</w:t>
      </w:r>
      <w:r>
        <w:tab/>
      </w:r>
      <w:r>
        <w:t xml:space="preserve">CKICAS: Community Kinetic Intelligent Complex Adaptive Systems</w:t>
      </w:r>
    </w:p>
    <w:bookmarkStart w:id="16" w:name="complex-adaptive-systems-foundation"/>
    <w:p>
      <w:pPr>
        <w:pStyle w:val="Heading3"/>
      </w:pPr>
      <w:r>
        <w:rPr>
          <w:rStyle w:val="SectionNumber"/>
        </w:rPr>
        <w:t xml:space="preserve">1.3.1</w:t>
      </w:r>
      <w:r>
        <w:tab/>
      </w:r>
      <w:r>
        <w:t xml:space="preserve">Complex Adaptive Systems Foundation</w:t>
      </w:r>
    </w:p>
    <w:p>
      <w:pPr>
        <w:pStyle w:val="FirstParagraph"/>
      </w:pPr>
      <w:r>
        <w:t xml:space="preserve">Complex adaptive systems (CAS) theory describes systems composed of interacting agents exhibit emergent behavior through self-organization and adaptation (Holland, 1995; Gell-Mann, 1994). A CAS can be formally represented as:</w:t>
      </w:r>
    </w:p>
    <w:p>
      <w:pPr>
        <w:pStyle w:val="BodyText"/>
      </w:pPr>
      <w:r>
        <w:rPr>
          <w:b/>
          <w:bCs/>
        </w:rPr>
        <w:t xml:space="preserve">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p>
    <w:p>
      <w:pPr>
        <w:pStyle w:val="BodyText"/>
      </w:pPr>
      <w:r>
        <w:t xml:space="preserve">Where:</w:t>
      </w:r>
      <w:r>
        <w:t xml:space="preserve"> </w:t>
      </w:r>
      <w:r>
        <w:t xml:space="preserve">-</w:t>
      </w:r>
      <w:r>
        <w:t xml:space="preserve"> </w:t>
      </w:r>
      <w:r>
        <w:rPr>
          <w:b/>
          <w:bCs/>
        </w:rPr>
        <w:t xml:space="preserve">A</w:t>
      </w:r>
      <w:r>
        <w:t xml:space="preserve"> </w:t>
      </w:r>
      <w:r>
        <w:t xml:space="preserve">= Set of adaptive agents</w:t>
      </w:r>
      <w:r>
        <w:t xml:space="preserve"> </w:t>
      </w:r>
      <w:r>
        <w:t xml:space="preserve">-</w:t>
      </w:r>
      <w:r>
        <w:t xml:space="preserve"> </w:t>
      </w:r>
      <w:r>
        <w:rPr>
          <w:b/>
          <w:bCs/>
        </w:rPr>
        <w:t xml:space="preserve">I</w:t>
      </w:r>
      <w:r>
        <w:t xml:space="preserve"> </w:t>
      </w:r>
      <w:r>
        <w:t xml:space="preserve">= Interaction rules between agents</w:t>
      </w:r>
      <w:r>
        <w:t xml:space="preserve"> </w:t>
      </w:r>
      <w:r>
        <w:t xml:space="preserve">-</w:t>
      </w:r>
      <w:r>
        <w:t xml:space="preserve"> </w:t>
      </w:r>
      <w:r>
        <w:rPr>
          <w:b/>
          <w:bCs/>
        </w:rPr>
        <w:t xml:space="preserve">R</w:t>
      </w:r>
      <w:r>
        <w:t xml:space="preserve"> </w:t>
      </w:r>
      <w:r>
        <w:t xml:space="preserve">= Reproduction/renewal mechanisms</w:t>
      </w:r>
      <w:r>
        <w:t xml:space="preserve"> </w:t>
      </w:r>
      <w:r>
        <w:t xml:space="preserve">-</w:t>
      </w:r>
      <w:r>
        <w:t xml:space="preserve"> </w:t>
      </w:r>
      <w:r>
        <w:rPr>
          <w:b/>
          <w:bCs/>
        </w:rPr>
        <w:t xml:space="preserve">E</w:t>
      </w:r>
      <w:r>
        <w:t xml:space="preserve"> </w:t>
      </w:r>
      <w:r>
        <w:t xml:space="preserve">= Environment providing selective pressure</w:t>
      </w:r>
    </w:p>
    <w:p>
      <w:pPr>
        <w:pStyle w:val="BodyText"/>
      </w:pPr>
      <w:r>
        <w:t xml:space="preserve">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bookmarkEnd w:id="16"/>
    <w:bookmarkStart w:id="17" w:name="X3c6076b2e037903201d10385e9434db5ba80cdb"/>
    <w:p>
      <w:pPr>
        <w:pStyle w:val="Heading3"/>
      </w:pPr>
      <w:r>
        <w:rPr>
          <w:rStyle w:val="SectionNumber"/>
        </w:rPr>
        <w:t xml:space="preserve">1.3.2</w:t>
      </w:r>
      <w:r>
        <w:tab/>
      </w:r>
      <w:r>
        <w:t xml:space="preserve">The CKICAS Framework: Six-Component Architecture</w:t>
      </w:r>
    </w:p>
    <w:p>
      <w:pPr>
        <w:pStyle w:val="FirstParagraph"/>
      </w:pPr>
      <w:r>
        <w:t xml:space="preserve">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pStyle w:val="BodyText"/>
      </w:pPr>
      <w:r>
        <w:rPr>
          <w:b/>
          <w:bCs/>
        </w:rPr>
        <w:t xml:space="preserve">S</w:t>
      </w:r>
      <w:r>
        <w:rPr>
          <w:b/>
          <w:bCs/>
          <w:vertAlign w:val="subscript"/>
        </w:rPr>
        <w:t xml:space="preserve">CKICAS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r>
        <w:t xml:space="preserve"> </w:t>
      </w:r>
      <w:r>
        <w:rPr>
          <w:b/>
          <w:bCs/>
        </w:rPr>
        <w:t xml:space="preserve">COMMUNITY</w:t>
      </w:r>
      <w:r>
        <w:t xml:space="preserve">,</w:t>
      </w:r>
      <w:r>
        <w:t xml:space="preserve"> </w:t>
      </w:r>
      <w:r>
        <w:rPr>
          <w:b/>
          <w:bCs/>
        </w:rPr>
        <w:t xml:space="preserve">KINETIC</w:t>
      </w:r>
      <w:r>
        <w:t xml:space="preserve">,</w:t>
      </w:r>
      <w:r>
        <w:t xml:space="preserve"> </w:t>
      </w:r>
      <w:r>
        <w:rPr>
          <w:b/>
          <w:bCs/>
        </w:rPr>
        <w:t xml:space="preserve">INTELLIGENT</w:t>
      </w:r>
      <w:r>
        <w:t xml:space="preserve">,</w:t>
      </w:r>
      <w:r>
        <w:t xml:space="preserve"> </w:t>
      </w:r>
      <w:r>
        <w:rPr>
          <w:b/>
          <w:bCs/>
        </w:rPr>
        <w:t xml:space="preserve">COMPLEX</w:t>
      </w:r>
      <w:r>
        <w:t xml:space="preserve">,</w:t>
      </w:r>
      <w:r>
        <w:t xml:space="preserve"> </w:t>
      </w:r>
      <w:r>
        <w:rPr>
          <w:b/>
          <w:bCs/>
        </w:rPr>
        <w:t xml:space="preserve">ADAPTIVE</w:t>
      </w:r>
      <w:r>
        <w:t xml:space="preserve">,</w:t>
      </w:r>
      <w:r>
        <w:t xml:space="preserve"> </w:t>
      </w:r>
      <w:r>
        <w:rPr>
          <w:b/>
          <w:bCs/>
        </w:rPr>
        <w:t xml:space="preserve">SYSTEM</w:t>
      </w:r>
      <w:r>
        <w:t xml:space="preserve">}</w:t>
      </w:r>
    </w:p>
    <w:p>
      <w:pPr>
        <w:numPr>
          <w:ilvl w:val="0"/>
          <w:numId w:val="1001"/>
        </w:numPr>
      </w:pPr>
      <w:r>
        <w:rPr>
          <w:b/>
          <w:bCs/>
        </w:rPr>
        <w:t xml:space="preserve">Definition</w:t>
      </w:r>
      <w:r>
        <w:t xml:space="preserve">: Distributed human-AI collaborative networks with participatory design</w:t>
      </w:r>
    </w:p>
    <w:p>
      <w:pPr>
        <w:numPr>
          <w:ilvl w:val="0"/>
          <w:numId w:val="1001"/>
        </w:numPr>
      </w:pPr>
      <w:r>
        <w:rPr>
          <w:b/>
          <w:bCs/>
        </w:rPr>
        <w:t xml:space="preserve">Function</w:t>
      </w:r>
      <w:r>
        <w:t xml:space="preserve">: Enables community-centered AI solutions through inclusive governance</w:t>
      </w:r>
    </w:p>
    <w:p>
      <w:pPr>
        <w:numPr>
          <w:ilvl w:val="0"/>
          <w:numId w:val="1001"/>
        </w:numPr>
      </w:pPr>
      <w:r>
        <w:rPr>
          <w:b/>
          <w:bCs/>
        </w:rPr>
        <w:t xml:space="preserve">Alignment</w:t>
      </w:r>
      <w:r>
        <w:t xml:space="preserve">: Perfect match with CFP requirements for community engagement in sustainable development</w:t>
      </w:r>
    </w:p>
    <w:p>
      <w:pPr>
        <w:numPr>
          <w:ilvl w:val="0"/>
          <w:numId w:val="1001"/>
        </w:numPr>
      </w:pPr>
      <w:r>
        <w:rPr>
          <w:b/>
          <w:bCs/>
        </w:rPr>
        <w:t xml:space="preserve">Definition</w:t>
      </w:r>
      <w:r>
        <w:t xml:space="preserve">: Dynamic adaptive intelligence systems with real-time optimization</w:t>
      </w:r>
    </w:p>
    <w:p>
      <w:pPr>
        <w:numPr>
          <w:ilvl w:val="0"/>
          <w:numId w:val="1001"/>
        </w:numPr>
      </w:pPr>
      <w:r>
        <w:rPr>
          <w:b/>
          <w:bCs/>
        </w:rPr>
        <w:t xml:space="preserve">Function</w:t>
      </w:r>
      <w:r>
        <w:t xml:space="preserve">: Provides responsive adaptation to changing sustainability challenges</w:t>
      </w:r>
    </w:p>
    <w:p>
      <w:pPr>
        <w:numPr>
          <w:ilvl w:val="0"/>
          <w:numId w:val="1001"/>
        </w:numPr>
      </w:pPr>
      <w:r>
        <w:rPr>
          <w:b/>
          <w:bCs/>
        </w:rPr>
        <w:t xml:space="preserve">Alignment</w:t>
      </w:r>
      <w:r>
        <w:t xml:space="preserve">: Exceptional alignment with emerging technologies for environmental sustainability</w:t>
      </w:r>
    </w:p>
    <w:p>
      <w:pPr>
        <w:numPr>
          <w:ilvl w:val="0"/>
          <w:numId w:val="1001"/>
        </w:numPr>
      </w:pPr>
      <w:r>
        <w:rPr>
          <w:b/>
          <w:bCs/>
        </w:rPr>
        <w:t xml:space="preserve">Definition</w:t>
      </w:r>
      <w:r>
        <w:t xml:space="preserve">: Constitutional AI with integrated citation validation and ethical reasoning</w:t>
      </w:r>
    </w:p>
    <w:p>
      <w:pPr>
        <w:numPr>
          <w:ilvl w:val="0"/>
          <w:numId w:val="1001"/>
        </w:numPr>
      </w:pPr>
      <w:r>
        <w:rPr>
          <w:b/>
          <w:bCs/>
        </w:rPr>
        <w:t xml:space="preserve">Function</w:t>
      </w:r>
      <w:r>
        <w:t xml:space="preserve">: Ensures responsible AI development with ethical constraints</w:t>
      </w:r>
    </w:p>
    <w:p>
      <w:pPr>
        <w:numPr>
          <w:ilvl w:val="0"/>
          <w:numId w:val="1001"/>
        </w:numPr>
      </w:pPr>
      <w:r>
        <w:rPr>
          <w:b/>
          <w:bCs/>
        </w:rPr>
        <w:t xml:space="preserve">Alignment</w:t>
      </w:r>
      <w:r>
        <w:t xml:space="preserve">: Strong alignment with CFP emphasis on responsible innovation</w:t>
      </w:r>
    </w:p>
    <w:p>
      <w:pPr>
        <w:numPr>
          <w:ilvl w:val="0"/>
          <w:numId w:val="1001"/>
        </w:numPr>
      </w:pPr>
      <w:r>
        <w:rPr>
          <w:b/>
          <w:bCs/>
        </w:rPr>
        <w:t xml:space="preserve">Definition</w:t>
      </w:r>
      <w:r>
        <w:t xml:space="preserve">: Multi-layered fractal architecture with emergent behavior analysis</w:t>
      </w:r>
    </w:p>
    <w:p>
      <w:pPr>
        <w:numPr>
          <w:ilvl w:val="0"/>
          <w:numId w:val="1001"/>
        </w:numPr>
      </w:pPr>
      <w:r>
        <w:rPr>
          <w:b/>
          <w:bCs/>
        </w:rPr>
        <w:t xml:space="preserve">Function</w:t>
      </w:r>
      <w:r>
        <w:t xml:space="preserve">: Manages sophisticated technical frameworks for sustainability</w:t>
      </w:r>
    </w:p>
    <w:p>
      <w:pPr>
        <w:numPr>
          <w:ilvl w:val="0"/>
          <w:numId w:val="1001"/>
        </w:numPr>
      </w:pPr>
      <w:r>
        <w:rPr>
          <w:b/>
          <w:bCs/>
        </w:rPr>
        <w:t xml:space="preserve">Alignment</w:t>
      </w:r>
      <w:r>
        <w:t xml:space="preserve">: Solid alignment with CFP requirements for technical innovation</w:t>
      </w:r>
    </w:p>
    <w:p>
      <w:pPr>
        <w:numPr>
          <w:ilvl w:val="0"/>
          <w:numId w:val="1001"/>
        </w:numPr>
      </w:pPr>
      <w:r>
        <w:rPr>
          <w:b/>
          <w:bCs/>
        </w:rPr>
        <w:t xml:space="preserve">Definition</w:t>
      </w:r>
      <w:r>
        <w:t xml:space="preserve">: Self-improving responsive systems with evolutionary optimization</w:t>
      </w:r>
    </w:p>
    <w:p>
      <w:pPr>
        <w:numPr>
          <w:ilvl w:val="0"/>
          <w:numId w:val="1001"/>
        </w:numPr>
      </w:pPr>
      <w:r>
        <w:rPr>
          <w:b/>
          <w:bCs/>
        </w:rPr>
        <w:t xml:space="preserve">Function</w:t>
      </w:r>
      <w:r>
        <w:t xml:space="preserve">: Enables adaptive governance frameworks for sustainable development</w:t>
      </w:r>
    </w:p>
    <w:p>
      <w:pPr>
        <w:numPr>
          <w:ilvl w:val="0"/>
          <w:numId w:val="1001"/>
        </w:numPr>
      </w:pPr>
      <w:r>
        <w:rPr>
          <w:b/>
          <w:bCs/>
        </w:rPr>
        <w:t xml:space="preserve">Alignment</w:t>
      </w:r>
      <w:r>
        <w:t xml:space="preserve">: Perfect match with CFP adaptive governance requirements</w:t>
      </w:r>
    </w:p>
    <w:p>
      <w:pPr>
        <w:numPr>
          <w:ilvl w:val="0"/>
          <w:numId w:val="1001"/>
        </w:numPr>
      </w:pPr>
      <w:r>
        <w:rPr>
          <w:b/>
          <w:bCs/>
        </w:rPr>
        <w:t xml:space="preserve">Definition</w:t>
      </w:r>
      <w:r>
        <w:t xml:space="preserve">: Integrated holistic platform with sustainable infrastructure</w:t>
      </w:r>
    </w:p>
    <w:p>
      <w:pPr>
        <w:numPr>
          <w:ilvl w:val="0"/>
          <w:numId w:val="1001"/>
        </w:numPr>
      </w:pPr>
      <w:r>
        <w:rPr>
          <w:b/>
          <w:bCs/>
        </w:rPr>
        <w:t xml:space="preserve">Function</w:t>
      </w:r>
      <w:r>
        <w:t xml:space="preserve">: Provides sustainable digital infrastructure for community solutions</w:t>
      </w:r>
    </w:p>
    <w:p>
      <w:pPr>
        <w:numPr>
          <w:ilvl w:val="0"/>
          <w:numId w:val="1001"/>
        </w:numPr>
      </w:pPr>
      <w:r>
        <w:rPr>
          <w:b/>
          <w:bCs/>
        </w:rPr>
        <w:t xml:space="preserve">Alignment</w:t>
      </w:r>
      <w:r>
        <w:t xml:space="preserve">: Strong alignment with CFP sustainable technology infrastructure needs</w:t>
      </w:r>
    </w:p>
    <w:bookmarkEnd w:id="17"/>
    <w:bookmarkStart w:id="18" w:name="mathematical-formalization-of-ckicas"/>
    <w:p>
      <w:pPr>
        <w:pStyle w:val="Heading3"/>
      </w:pPr>
      <w:r>
        <w:rPr>
          <w:rStyle w:val="SectionNumber"/>
        </w:rPr>
        <w:t xml:space="preserve">1.3.3</w:t>
      </w:r>
      <w:r>
        <w:tab/>
      </w:r>
      <w:r>
        <w:t xml:space="preserve">Mathematical Formalization of CKICAS</w:t>
      </w:r>
    </w:p>
    <w:p>
      <w:pPr>
        <w:pStyle w:val="FirstParagraph"/>
      </w:pPr>
      <w:r>
        <w:t xml:space="preserve">Define a CKICAS system state at time t as:</w:t>
      </w:r>
    </w:p>
    <w:p>
      <w:pPr>
        <w:pStyle w:val="BodyText"/>
      </w:pPr>
      <w:r>
        <w:rPr>
          <w:b/>
          <w:bCs/>
        </w:rPr>
        <w:t xml:space="preserve">S(t)</w:t>
      </w:r>
      <w:r>
        <w:t xml:space="preserve"> </w:t>
      </w:r>
      <w:r>
        <w:t xml:space="preserve">= [</w:t>
      </w:r>
      <w:r>
        <w:rPr>
          <w:b/>
          <w:bCs/>
        </w:rPr>
        <w:t xml:space="preserve">X(t)</w:t>
      </w:r>
      <w:r>
        <w:t xml:space="preserve">,</w:t>
      </w:r>
      <w:r>
        <w:t xml:space="preserve"> </w:t>
      </w:r>
      <w:r>
        <w:rPr>
          <w:b/>
          <w:bCs/>
        </w:rPr>
        <w:t xml:space="preserve">C(t)</w:t>
      </w:r>
      <w:r>
        <w:t xml:space="preserve">,</w:t>
      </w:r>
      <w:r>
        <w:t xml:space="preserve"> </w:t>
      </w:r>
      <w:r>
        <w:rPr>
          <w:b/>
          <w:bCs/>
        </w:rPr>
        <w:t xml:space="preserve">K(t)</w:t>
      </w:r>
      <w:r>
        <w:t xml:space="preserve">,</w:t>
      </w:r>
      <w:r>
        <w:t xml:space="preserve"> </w:t>
      </w:r>
      <w:r>
        <w:rPr>
          <w:b/>
          <w:bCs/>
        </w:rPr>
        <w:t xml:space="preserve">G(t)</w:t>
      </w:r>
      <w:r>
        <w:t xml:space="preserve">]</w:t>
      </w:r>
    </w:p>
    <w:p>
      <w:pPr>
        <w:pStyle w:val="BodyText"/>
      </w:pPr>
      <w:r>
        <w:t xml:space="preserve">Where:</w:t>
      </w:r>
      <w:r>
        <w:t xml:space="preserve"> </w:t>
      </w:r>
      <w:r>
        <w:t xml:space="preserve">-</w:t>
      </w:r>
      <w:r>
        <w:t xml:space="preserve"> </w:t>
      </w:r>
      <w:r>
        <w:rPr>
          <w:b/>
          <w:bCs/>
        </w:rPr>
        <w:t xml:space="preserve">X(t)</w:t>
      </w:r>
      <w:r>
        <w:t xml:space="preserve"> </w:t>
      </w:r>
      <w:r>
        <w:t xml:space="preserve">∈ ℝ</w:t>
      </w:r>
      <w:r>
        <w:t xml:space="preserve">n</w:t>
      </w:r>
      <w:r>
        <w:t xml:space="preserve"> </w:t>
      </w:r>
      <w:r>
        <w:t xml:space="preserve">= System state vector (agent configurations, environmental conditions)</w:t>
      </w:r>
      <w:r>
        <w:t xml:space="preserve"> </w:t>
      </w:r>
      <w:r>
        <w:t xml:space="preserve">-</w:t>
      </w:r>
      <w:r>
        <w:t xml:space="preserve"> </w:t>
      </w:r>
      <w:r>
        <w:rPr>
          <w:b/>
          <w:bCs/>
        </w:rPr>
        <w:t xml:space="preserve">C(t)</w:t>
      </w:r>
      <w:r>
        <w:t xml:space="preserve"> </w:t>
      </w:r>
      <w:r>
        <w:t xml:space="preserve">∈ ℂ = Community participation matrix (human-AI collaboration patterns)</w:t>
      </w:r>
      <w:r>
        <w:t xml:space="preserve"> </w:t>
      </w:r>
      <w:r>
        <w:t xml:space="preserve">-</w:t>
      </w:r>
      <w:r>
        <w:t xml:space="preserve"> </w:t>
      </w:r>
      <w:r>
        <w:rPr>
          <w:b/>
          <w:bCs/>
        </w:rPr>
        <w:t xml:space="preserve">K(t)</w:t>
      </w:r>
      <w:r>
        <w:t xml:space="preserve"> </w:t>
      </w:r>
      <w:r>
        <w:t xml:space="preserve">∈ ℱ = Kinetic intelligence constraints (dynamic adaptation parameters)</w:t>
      </w:r>
      <w:r>
        <w:t xml:space="preserve"> </w:t>
      </w:r>
      <w:r>
        <w:t xml:space="preserve">-</w:t>
      </w:r>
      <w:r>
        <w:t xml:space="preserve"> </w:t>
      </w:r>
      <w:r>
        <w:rPr>
          <w:b/>
          <w:bCs/>
        </w:rPr>
        <w:t xml:space="preserve">G(t)</w:t>
      </w:r>
      <w:r>
        <w:t xml:space="preserve"> </w:t>
      </w:r>
      <w:r>
        <w:t xml:space="preserve">∈ {0,1}</w:t>
      </w:r>
      <w:r>
        <w:t xml:space="preserve">m</w:t>
      </w:r>
      <w:r>
        <w:t xml:space="preserve"> </w:t>
      </w:r>
      <w:r>
        <w:t xml:space="preserve">= Governance state (active feedback loop status)</w:t>
      </w:r>
    </w:p>
    <w:p>
      <w:pPr>
        <w:pStyle w:val="BodyText"/>
      </w:pPr>
      <w:r>
        <w:t xml:space="preserve">System evolution follows community-kinetic dynamics:</w:t>
      </w:r>
    </w:p>
    <w:p>
      <w:pPr>
        <w:pStyle w:val="BodyText"/>
      </w:pPr>
      <w:r>
        <w:rPr>
          <w:b/>
          <w:bCs/>
        </w:rPr>
        <w:t xml:space="preserve">X(t+1)</w:t>
      </w:r>
      <w:r>
        <w:t xml:space="preserve"> </w:t>
      </w:r>
      <w:r>
        <w:t xml:space="preserve">=</w:t>
      </w:r>
      <w:r>
        <w:t xml:space="preserve"> </w:t>
      </w:r>
      <w:r>
        <w:rPr>
          <w:b/>
          <w:bCs/>
        </w:rPr>
        <w:t xml:space="preserve">f(X(t), C(t), K(t), G(t))</w:t>
      </w:r>
      <w:r>
        <w:t xml:space="preserve"> </w:t>
      </w:r>
      <w:r>
        <w:t xml:space="preserve">+</w:t>
      </w:r>
      <w:r>
        <w:t xml:space="preserve"> </w:t>
      </w:r>
      <w:r>
        <w:rPr>
          <w:b/>
          <w:bCs/>
        </w:rPr>
        <w:t xml:space="preserve">ε(t)</w:t>
      </w:r>
    </w:p>
    <w:p>
      <w:pPr>
        <w:pStyle w:val="BodyText"/>
      </w:pPr>
      <w:r>
        <w:t xml:space="preserve">Where</w:t>
      </w:r>
      <w:r>
        <w:t xml:space="preserve"> </w:t>
      </w:r>
      <w:r>
        <w:rPr>
          <w:b/>
          <w:bCs/>
        </w:rPr>
        <w:t xml:space="preserve">f</w:t>
      </w:r>
      <w:r>
        <w:t xml:space="preserve"> </w:t>
      </w:r>
      <w:r>
        <w:t xml:space="preserve">represents community-kinetic adaptation dynamics, and</w:t>
      </w:r>
      <w:r>
        <w:t xml:space="preserve"> </w:t>
      </w:r>
      <w:r>
        <w:rPr>
          <w:b/>
          <w:bCs/>
        </w:rPr>
        <w:t xml:space="preserve">ε(t)</w:t>
      </w:r>
      <w:r>
        <w:t xml:space="preserve"> </w:t>
      </w:r>
      <w:r>
        <w:t xml:space="preserve">captures environmental sustainability pressures.</w:t>
      </w:r>
    </w:p>
    <w:p>
      <w:pPr>
        <w:pStyle w:val="BodyText"/>
      </w:pPr>
      <w:r>
        <w:t xml:space="preserve">Constitutional governance activates when system behavior deviates from community-kinetic constraints:</w:t>
      </w:r>
    </w:p>
    <w:p>
      <w:pPr>
        <w:pStyle w:val="BodyText"/>
      </w:pPr>
      <w:r>
        <w:rPr>
          <w:b/>
          <w:bCs/>
        </w:rPr>
        <w:t xml:space="preserve">G(t)</w:t>
      </w:r>
      <w:r>
        <w:t xml:space="preserve"> </w:t>
      </w:r>
      <w:r>
        <w:t xml:space="preserve">=</w:t>
      </w:r>
      <w:r>
        <w:t xml:space="preserve"> </w:t>
      </w:r>
      <w:r>
        <w:rPr>
          <w:b/>
          <w:bCs/>
        </w:rPr>
        <w:t xml:space="preserve">H(δ(X(t), K(t)))</w:t>
      </w:r>
    </w:p>
    <w:p>
      <w:pPr>
        <w:pStyle w:val="BodyText"/>
      </w:pPr>
      <w:r>
        <w:t xml:space="preserve">Where</w:t>
      </w:r>
      <w:r>
        <w:t xml:space="preserve"> </w:t>
      </w:r>
      <w:r>
        <w:rPr>
          <w:b/>
          <w:bCs/>
        </w:rPr>
        <w:t xml:space="preserve">H</w:t>
      </w:r>
      <w:r>
        <w:t xml:space="preserve"> </w:t>
      </w:r>
      <w:r>
        <w:t xml:space="preserve">is a threshold function, and</w:t>
      </w:r>
      <w:r>
        <w:t xml:space="preserve"> </w:t>
      </w:r>
      <w:r>
        <w:rPr>
          <w:b/>
          <w:bCs/>
        </w:rPr>
        <w:t xml:space="preserve">δ</w:t>
      </w:r>
      <w:r>
        <w:t xml:space="preserve"> </w:t>
      </w:r>
      <w:r>
        <w:t xml:space="preserve">measures deviation from constitutional bounds.</w:t>
      </w:r>
    </w:p>
    <w:bookmarkEnd w:id="18"/>
    <w:bookmarkStart w:id="19" w:name="X24fda5fbd470740403b7a6c7d4f2eebc39fdfda"/>
    <w:p>
      <w:pPr>
        <w:pStyle w:val="Heading3"/>
      </w:pPr>
      <w:r>
        <w:rPr>
          <w:rStyle w:val="SectionNumber"/>
        </w:rPr>
        <w:t xml:space="preserve">1.3.4</w:t>
      </w:r>
      <w:r>
        <w:tab/>
      </w:r>
      <w:r>
        <w:t xml:space="preserve">Fractal Properties: The CKICAS Differentiator</w:t>
      </w:r>
    </w:p>
    <w:p>
      <w:pPr>
        <w:pStyle w:val="FirstParagraph"/>
      </w:pPr>
      <w:r>
        <w:t xml:space="preserve">CKICAS is distinguished by four fractal properties enabling intelligence to operate coherently across complexity scales:</w:t>
      </w:r>
    </w:p>
    <w:p>
      <w:pPr>
        <w:numPr>
          <w:ilvl w:val="0"/>
          <w:numId w:val="1002"/>
        </w:numPr>
      </w:pPr>
      <w:r>
        <w:rPr>
          <w:b/>
          <w:bCs/>
        </w:rPr>
        <w:t xml:space="preserve">Self-Similarity</w:t>
      </w:r>
      <w:r>
        <w:t xml:space="preserve">: Intelligence constraints replicate across scales:</w:t>
      </w:r>
      <w:r>
        <w:t xml:space="preserve"> </w:t>
      </w:r>
      <w:r>
        <w:rPr>
          <w:b/>
          <w:bCs/>
        </w:rPr>
        <w:t xml:space="preserve">K</w:t>
      </w:r>
      <w:r>
        <w:rPr>
          <w:b/>
          <w:bCs/>
          <w:vertAlign w:val="subscript"/>
        </w:rPr>
        <w:t xml:space="preserve">i</w:t>
      </w:r>
      <w:r>
        <w:t xml:space="preserve"> </w:t>
      </w:r>
      <w:r>
        <w:t xml:space="preserve">≅</w:t>
      </w:r>
      <w:r>
        <w:t xml:space="preserve"> </w:t>
      </w:r>
      <w:r>
        <w:rPr>
          <w:b/>
          <w:bCs/>
        </w:rPr>
        <w:t xml:space="preserve">K</w:t>
      </w:r>
      <w:r>
        <w:rPr>
          <w:b/>
          <w:bCs/>
          <w:vertAlign w:val="subscript"/>
        </w:rPr>
        <w:t xml:space="preserve">j</w:t>
      </w:r>
      <w:r>
        <w:t xml:space="preserve"> </w:t>
      </w:r>
      <w:r>
        <w:t xml:space="preserve">∀ i,j where scale(i) ≠ scale(j)</w:t>
      </w:r>
    </w:p>
    <w:p>
      <w:pPr>
        <w:numPr>
          <w:ilvl w:val="0"/>
          <w:numId w:val="1002"/>
        </w:numPr>
      </w:pPr>
      <w:r>
        <w:rPr>
          <w:b/>
          <w:bCs/>
        </w:rPr>
        <w:t xml:space="preserve">Scale-Invariant Adaptation</w:t>
      </w:r>
      <w:r>
        <w:t xml:space="preserve">: Adaptation mechanisms maintain effectiveness regardless of system size:</w:t>
      </w:r>
      <w:r>
        <w:t xml:space="preserve"> </w:t>
      </w:r>
      <w:r>
        <w:rPr>
          <w:b/>
          <w:bCs/>
        </w:rPr>
        <w:t xml:space="preserve">η(scale)</w:t>
      </w:r>
      <w:r>
        <w:t xml:space="preserve"> </w:t>
      </w:r>
      <w:r>
        <w:t xml:space="preserve">= constant, where η measures adaptation efficiency</w:t>
      </w:r>
    </w:p>
    <w:p>
      <w:pPr>
        <w:numPr>
          <w:ilvl w:val="0"/>
          <w:numId w:val="1002"/>
        </w:numPr>
      </w:pPr>
      <w:r>
        <w:rPr>
          <w:b/>
          <w:bCs/>
        </w:rPr>
        <w:t xml:space="preserve">Recursive Decision Architectures</w:t>
      </w:r>
      <w:r>
        <w:t xml:space="preserve">: Governance hierarchies mirror system structure:</w:t>
      </w:r>
      <w:r>
        <w:t xml:space="preserve"> </w:t>
      </w:r>
      <w:r>
        <w:rPr>
          <w:b/>
          <w:bCs/>
        </w:rPr>
        <w:t xml:space="preserve">G</w:t>
      </w:r>
      <w:r>
        <w:rPr>
          <w:b/>
          <w:bCs/>
          <w:vertAlign w:val="subscript"/>
        </w:rPr>
        <w:t xml:space="preserve">nested</w:t>
      </w:r>
      <w:r>
        <w:t xml:space="preserve"> </w:t>
      </w:r>
      <w:r>
        <w:t xml:space="preserve">=</w:t>
      </w:r>
      <w:r>
        <w:t xml:space="preserve"> </w:t>
      </w:r>
      <w:r>
        <w:rPr>
          <w:b/>
          <w:bCs/>
        </w:rPr>
        <w:t xml:space="preserve">G</w:t>
      </w:r>
      <w:r>
        <w:rPr>
          <w:b/>
          <w:bCs/>
          <w:vertAlign w:val="subscript"/>
        </w:rPr>
        <w:t xml:space="preserve">base</w:t>
      </w:r>
      <w:r>
        <w:t xml:space="preserve"> </w:t>
      </w:r>
      <w:r>
        <w:t xml:space="preserve">∘</w:t>
      </w:r>
      <w:r>
        <w:t xml:space="preserve"> </w:t>
      </w:r>
      <w:r>
        <w:rPr>
          <w:b/>
          <w:bCs/>
        </w:rPr>
        <w:t xml:space="preserve">G</w:t>
      </w:r>
      <w:r>
        <w:rPr>
          <w:b/>
          <w:bCs/>
          <w:vertAlign w:val="subscript"/>
        </w:rPr>
        <w:t xml:space="preserve">recursive</w:t>
      </w:r>
    </w:p>
    <w:p>
      <w:pPr>
        <w:numPr>
          <w:ilvl w:val="0"/>
          <w:numId w:val="1002"/>
        </w:numPr>
      </w:pPr>
      <w:r>
        <w:rPr>
          <w:b/>
          <w:bCs/>
        </w:rPr>
        <w:t xml:space="preserve">Nested Complexity Boundaries</w:t>
      </w:r>
      <w:r>
        <w:t xml:space="preserve">: Intelligence maintains coherence across complexity levels:</w:t>
      </w:r>
      <w:r>
        <w:t xml:space="preserve"> </w:t>
      </w:r>
      <w:r>
        <w:rPr>
          <w:b/>
          <w:bCs/>
        </w:rPr>
        <w:t xml:space="preserve">B</w:t>
      </w:r>
      <w:r>
        <w:rPr>
          <w:b/>
          <w:bCs/>
          <w:vertAlign w:val="subscript"/>
        </w:rPr>
        <w:t xml:space="preserve">i</w:t>
      </w:r>
      <w:r>
        <w:t xml:space="preserve"> </w:t>
      </w:r>
      <w:r>
        <w:t xml:space="preserve">⊂</w:t>
      </w:r>
      <w:r>
        <w:t xml:space="preserve"> </w:t>
      </w:r>
      <w:r>
        <w:rPr>
          <w:b/>
          <w:bCs/>
        </w:rPr>
        <w:t xml:space="preserve">B</w:t>
      </w:r>
      <w:r>
        <w:rPr>
          <w:b/>
          <w:bCs/>
          <w:vertAlign w:val="subscript"/>
        </w:rPr>
        <w:t xml:space="preserve">i+1</w:t>
      </w:r>
      <w:r>
        <w:t xml:space="preserve">, where B represents complexity boundaries</w:t>
      </w:r>
    </w:p>
    <w:p>
      <w:pPr>
        <w:pStyle w:val="FirstParagraph"/>
      </w:pPr>
      <w:r>
        <w:t xml:space="preserve">These fractal properties ensure constitutional intelligence scales predictably, maintaining human oversight effectiveness as systems grow in complexity.</w:t>
      </w:r>
    </w:p>
    <w:bookmarkEnd w:id="19"/>
    <w:bookmarkStart w:id="20" w:name="ckicas-conceptual-architecture"/>
    <w:p>
      <w:pPr>
        <w:pStyle w:val="Heading3"/>
      </w:pPr>
      <w:r>
        <w:rPr>
          <w:rStyle w:val="SectionNumber"/>
        </w:rPr>
        <w:t xml:space="preserve">1.3.5</w:t>
      </w:r>
      <w:r>
        <w:tab/>
      </w:r>
      <w:r>
        <w:t xml:space="preserve">CKICAS Conceptual Architecture</w:t>
      </w:r>
    </w:p>
    <w:p>
      <w:pPr>
        <w:pStyle w:val="FirstParagraph"/>
      </w:pPr>
      <w:r>
        <w:t xml:space="preserve">The following diagram illustrates the CKICAS framework’s conceptual architecture, showing the six integrated components and their relationships with Yama principles and fractal properties:</w:t>
      </w:r>
    </w:p>
    <w:p>
      <w:pPr>
        <w:pStyle w:val="SourceCode"/>
      </w:pPr>
      <w:r>
        <w:rPr>
          <w:rStyle w:val="VerbatimChar"/>
        </w:rPr>
        <w:t xml:space="preserve">graph TD</w:t>
      </w:r>
      <w:r>
        <w:br/>
      </w:r>
      <w:r>
        <w:rPr>
          <w:rStyle w:val="VerbatimChar"/>
        </w:rPr>
        <w:t xml:space="preserve">    A[Community Kinetic Intelligent Complex Adaptive Systems] —&gt; B[Community Component]</w:t>
      </w:r>
      <w:r>
        <w:br/>
      </w:r>
      <w:r>
        <w:rPr>
          <w:rStyle w:val="VerbatimChar"/>
        </w:rPr>
        <w:t xml:space="preserve">    A —&gt; C[Kinetic Component]</w:t>
      </w:r>
      <w:r>
        <w:br/>
      </w:r>
      <w:r>
        <w:rPr>
          <w:rStyle w:val="VerbatimChar"/>
        </w:rPr>
        <w:t xml:space="preserve">    A —&gt; D[Intelligent Component]</w:t>
      </w:r>
      <w:r>
        <w:br/>
      </w:r>
      <w:r>
        <w:rPr>
          <w:rStyle w:val="VerbatimChar"/>
        </w:rPr>
        <w:t xml:space="preserve">    A —&gt; E[Complex Component]</w:t>
      </w:r>
      <w:r>
        <w:br/>
      </w:r>
      <w:r>
        <w:rPr>
          <w:rStyle w:val="VerbatimChar"/>
        </w:rPr>
        <w:t xml:space="preserve">    A —&gt; F[Adaptive Component]</w:t>
      </w:r>
      <w:r>
        <w:br/>
      </w:r>
      <w:r>
        <w:rPr>
          <w:rStyle w:val="VerbatimChar"/>
        </w:rPr>
        <w:t xml:space="preserve">    A —&gt; G[System Component]</w:t>
      </w:r>
      <w:r>
        <w:br/>
      </w:r>
      <w:r>
        <w:rPr>
          <w:rStyle w:val="VerbatimChar"/>
        </w:rPr>
        <w:t xml:space="preserve">    </w:t>
      </w:r>
      <w:r>
        <w:br/>
      </w:r>
      <w:r>
        <w:rPr>
          <w:rStyle w:val="VerbatimChar"/>
        </w:rPr>
        <w:t xml:space="preserve">    B —&gt; B1[Participatory Networks]</w:t>
      </w:r>
      <w:r>
        <w:br/>
      </w:r>
      <w:r>
        <w:rPr>
          <w:rStyle w:val="VerbatimChar"/>
        </w:rPr>
        <w:t xml:space="preserve">    B —&gt; B2[Inclusive Governance]</w:t>
      </w:r>
      <w:r>
        <w:br/>
      </w:r>
      <w:r>
        <w:rPr>
          <w:rStyle w:val="VerbatimChar"/>
        </w:rPr>
        <w:t xml:space="preserve">    B —&gt; B3[Stakeholder Engagement]</w:t>
      </w:r>
      <w:r>
        <w:br/>
      </w:r>
      <w:r>
        <w:rPr>
          <w:rStyle w:val="VerbatimChar"/>
        </w:rPr>
        <w:t xml:space="preserve">    </w:t>
      </w:r>
      <w:r>
        <w:br/>
      </w:r>
      <w:r>
        <w:rPr>
          <w:rStyle w:val="VerbatimChar"/>
        </w:rPr>
        <w:t xml:space="preserve">    C —&gt; C1[Dynamic Adaptation]</w:t>
      </w:r>
      <w:r>
        <w:br/>
      </w:r>
      <w:r>
        <w:rPr>
          <w:rStyle w:val="VerbatimChar"/>
        </w:rPr>
        <w:t xml:space="preserve">    C —&gt; C2[Real-time Optimization]</w:t>
      </w:r>
      <w:r>
        <w:br/>
      </w:r>
      <w:r>
        <w:rPr>
          <w:rStyle w:val="VerbatimChar"/>
        </w:rPr>
        <w:t xml:space="preserve">    C —&gt; C3[Responsive Mechanisms]</w:t>
      </w:r>
      <w:r>
        <w:br/>
      </w:r>
      <w:r>
        <w:rPr>
          <w:rStyle w:val="VerbatimChar"/>
        </w:rPr>
        <w:t xml:space="preserve">    </w:t>
      </w:r>
      <w:r>
        <w:br/>
      </w:r>
      <w:r>
        <w:rPr>
          <w:rStyle w:val="VerbatimChar"/>
        </w:rPr>
        <w:t xml:space="preserve">    D —&gt; D1[Constitutional AI]</w:t>
      </w:r>
      <w:r>
        <w:br/>
      </w:r>
      <w:r>
        <w:rPr>
          <w:rStyle w:val="VerbatimChar"/>
        </w:rPr>
        <w:t xml:space="preserve">    D —&gt; D2[Ethical Reasoning]</w:t>
      </w:r>
      <w:r>
        <w:br/>
      </w:r>
      <w:r>
        <w:rPr>
          <w:rStyle w:val="VerbatimChar"/>
        </w:rPr>
        <w:t xml:space="preserve">    D —&gt; D3[Citation Validation]</w:t>
      </w:r>
      <w:r>
        <w:br/>
      </w:r>
      <w:r>
        <w:rPr>
          <w:rStyle w:val="VerbatimChar"/>
        </w:rPr>
        <w:t xml:space="preserve">    </w:t>
      </w:r>
      <w:r>
        <w:br/>
      </w:r>
      <w:r>
        <w:rPr>
          <w:rStyle w:val="VerbatimChar"/>
        </w:rPr>
        <w:t xml:space="preserve">    E —&gt; E1[Fractal Architecture]</w:t>
      </w:r>
      <w:r>
        <w:br/>
      </w:r>
      <w:r>
        <w:rPr>
          <w:rStyle w:val="VerbatimChar"/>
        </w:rPr>
        <w:t xml:space="preserve">    E —&gt; E2[Emergent Behavior]</w:t>
      </w:r>
      <w:r>
        <w:br/>
      </w:r>
      <w:r>
        <w:rPr>
          <w:rStyle w:val="VerbatimChar"/>
        </w:rPr>
        <w:t xml:space="preserve">    E —&gt; E3[Multi-layered Systems]</w:t>
      </w:r>
      <w:r>
        <w:br/>
      </w:r>
      <w:r>
        <w:rPr>
          <w:rStyle w:val="VerbatimChar"/>
        </w:rPr>
        <w:t xml:space="preserve">    </w:t>
      </w:r>
      <w:r>
        <w:br/>
      </w:r>
      <w:r>
        <w:rPr>
          <w:rStyle w:val="VerbatimChar"/>
        </w:rPr>
        <w:t xml:space="preserve">    F —&gt; F1[Self-improving Systems]</w:t>
      </w:r>
      <w:r>
        <w:br/>
      </w:r>
      <w:r>
        <w:rPr>
          <w:rStyle w:val="VerbatimChar"/>
        </w:rPr>
        <w:t xml:space="preserve">    F —&gt; F2[Evolutionary Optimization]</w:t>
      </w:r>
      <w:r>
        <w:br/>
      </w:r>
      <w:r>
        <w:rPr>
          <w:rStyle w:val="VerbatimChar"/>
        </w:rPr>
        <w:t xml:space="preserve">    F —&gt; F3[Adaptive Governance]</w:t>
      </w:r>
      <w:r>
        <w:br/>
      </w:r>
      <w:r>
        <w:rPr>
          <w:rStyle w:val="VerbatimChar"/>
        </w:rPr>
        <w:t xml:space="preserve">    </w:t>
      </w:r>
      <w:r>
        <w:br/>
      </w:r>
      <w:r>
        <w:rPr>
          <w:rStyle w:val="VerbatimChar"/>
        </w:rPr>
        <w:t xml:space="preserve">    G —&gt; G1[Integrated Platform]</w:t>
      </w:r>
      <w:r>
        <w:br/>
      </w:r>
      <w:r>
        <w:rPr>
          <w:rStyle w:val="VerbatimChar"/>
        </w:rPr>
        <w:t xml:space="preserve">    G —&gt; G2[Sustainable Infrastructure]</w:t>
      </w:r>
      <w:r>
        <w:br/>
      </w:r>
      <w:r>
        <w:rPr>
          <w:rStyle w:val="VerbatimChar"/>
        </w:rPr>
        <w:t xml:space="preserve">    G —&gt; G3[Holistic Framework]</w:t>
      </w:r>
      <w:r>
        <w:br/>
      </w:r>
      <w:r>
        <w:rPr>
          <w:rStyle w:val="VerbatimChar"/>
        </w:rPr>
        <w:t xml:space="preserve">    </w:t>
      </w:r>
      <w:r>
        <w:br/>
      </w:r>
      <w:r>
        <w:rPr>
          <w:rStyle w:val="VerbatimChar"/>
        </w:rPr>
        <w:t xml:space="preserve">    H[Yama Principles] —&gt; H1[Satya - Truth]</w:t>
      </w:r>
      <w:r>
        <w:br/>
      </w:r>
      <w:r>
        <w:rPr>
          <w:rStyle w:val="VerbatimChar"/>
        </w:rPr>
        <w:t xml:space="preserve">    H —&gt; H2[Asteya - Attribution]</w:t>
      </w:r>
      <w:r>
        <w:br/>
      </w:r>
      <w:r>
        <w:rPr>
          <w:rStyle w:val="VerbatimChar"/>
        </w:rPr>
        <w:t xml:space="preserve">    H —&gt; H3[Ahimsa - No Harm]</w:t>
      </w:r>
      <w:r>
        <w:br/>
      </w:r>
      <w:r>
        <w:rPr>
          <w:rStyle w:val="VerbatimChar"/>
        </w:rPr>
        <w:t xml:space="preserve">    </w:t>
      </w:r>
      <w:r>
        <w:br/>
      </w:r>
      <w:r>
        <w:rPr>
          <w:rStyle w:val="VerbatimChar"/>
        </w:rPr>
        <w:t xml:space="preserve">    D —&gt; H</w:t>
      </w:r>
      <w:r>
        <w:br/>
      </w:r>
      <w:r>
        <w:rPr>
          <w:rStyle w:val="VerbatimChar"/>
        </w:rPr>
        <w:t xml:space="preserve">    A —&gt; I[Fractal Properties]</w:t>
      </w:r>
      <w:r>
        <w:br/>
      </w:r>
      <w:r>
        <w:rPr>
          <w:rStyle w:val="VerbatimChar"/>
        </w:rPr>
        <w:t xml:space="preserve">    I —&gt; I1[Self-Similarity]</w:t>
      </w:r>
      <w:r>
        <w:br/>
      </w:r>
      <w:r>
        <w:rPr>
          <w:rStyle w:val="VerbatimChar"/>
        </w:rPr>
        <w:t xml:space="preserve">    I —&gt; I2[Scale-Invariance]</w:t>
      </w:r>
      <w:r>
        <w:br/>
      </w:r>
      <w:r>
        <w:rPr>
          <w:rStyle w:val="VerbatimChar"/>
        </w:rPr>
        <w:t xml:space="preserve">    I —&gt; I3[Recursive Governance]</w:t>
      </w:r>
      <w:r>
        <w:br/>
      </w:r>
      <w:r>
        <w:rPr>
          <w:rStyle w:val="VerbatimChar"/>
        </w:rPr>
        <w:t xml:space="preserve">    I —&gt; I4[Nested Boundaries]</w:t>
      </w:r>
    </w:p>
    <w:bookmarkEnd w:id="20"/>
    <w:bookmarkStart w:id="21" w:name="theoretical-implications"/>
    <w:p>
      <w:pPr>
        <w:pStyle w:val="Heading3"/>
      </w:pPr>
      <w:r>
        <w:rPr>
          <w:rStyle w:val="SectionNumber"/>
        </w:rPr>
        <w:t xml:space="preserve">1.3.6</w:t>
      </w:r>
      <w:r>
        <w:tab/>
      </w:r>
      <w:r>
        <w:t xml:space="preserve">Theoretical Implications</w:t>
      </w:r>
    </w:p>
    <w:p>
      <w:pPr>
        <w:pStyle w:val="FirstParagraph"/>
      </w:pPr>
      <w:r>
        <w:t xml:space="preserve">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pStyle w:val="BodyText"/>
      </w:pPr>
      <w:r>
        <w:t xml:space="preserve">(598 words)</w:t>
      </w:r>
    </w:p>
    <w:bookmarkEnd w:id="21"/>
    <w:bookmarkEnd w:id="22"/>
    <w:bookmarkStart w:id="27" w:name="research-methodology"/>
    <w:p>
      <w:pPr>
        <w:pStyle w:val="Heading2"/>
      </w:pPr>
      <w:r>
        <w:rPr>
          <w:rStyle w:val="SectionNumber"/>
        </w:rPr>
        <w:t xml:space="preserve">1.4</w:t>
      </w:r>
      <w:r>
        <w:tab/>
      </w:r>
      <w:r>
        <w:t xml:space="preserve">Research Methodology</w:t>
      </w:r>
    </w:p>
    <w:bookmarkStart w:id="23" w:name="mixed-methods-validation-approach"/>
    <w:p>
      <w:pPr>
        <w:pStyle w:val="Heading3"/>
      </w:pPr>
      <w:r>
        <w:rPr>
          <w:rStyle w:val="SectionNumber"/>
        </w:rPr>
        <w:t xml:space="preserve">1.4.1</w:t>
      </w:r>
      <w:r>
        <w:tab/>
      </w:r>
      <w:r>
        <w:t xml:space="preserve">Mixed-Methods Validation Approach</w:t>
      </w:r>
    </w:p>
    <w:p>
      <w:pPr>
        <w:pStyle w:val="FirstParagraph"/>
      </w:pPr>
      <w:r>
        <w:t xml:space="preserve">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bookmarkEnd w:id="23"/>
    <w:bookmarkStart w:id="24" w:name="proxy-evidence-analysis-protocol"/>
    <w:p>
      <w:pPr>
        <w:pStyle w:val="Heading3"/>
      </w:pPr>
      <w:r>
        <w:rPr>
          <w:rStyle w:val="SectionNumber"/>
        </w:rPr>
        <w:t xml:space="preserve">1.4.2</w:t>
      </w:r>
      <w:r>
        <w:tab/>
      </w:r>
      <w:r>
        <w:t xml:space="preserve">Proxy Evidence Analysis Protocol</w:t>
      </w:r>
    </w:p>
    <w:p>
      <w:pPr>
        <w:pStyle w:val="FirstParagraph"/>
      </w:pPr>
      <w:r>
        <w:t xml:space="preserve">Episode Evidence Packs serve as the primary source for empirical CKICAS validation. This approach analyzes eight comprehensive EEPs documenting community decision processes during the COVID-19 pandemic, providing continuous validation for analysis.</w:t>
      </w:r>
    </w:p>
    <w:p>
      <w:pPr>
        <w:pStyle w:val="BodyText"/>
      </w:pPr>
      <w:r>
        <w:rPr>
          <w:b/>
          <w:bCs/>
        </w:rPr>
        <w:t xml:space="preserve">Data Collection Protocol:</w:t>
      </w:r>
      <w:r>
        <w:t xml:space="preserve"> </w:t>
      </w:r>
      <w:r>
        <w:t xml:space="preserve">-</w:t>
      </w:r>
      <w:r>
        <w:t xml:space="preserve"> </w:t>
      </w:r>
      <w:r>
        <w:rPr>
          <w:b/>
          <w:bCs/>
        </w:rPr>
        <w:t xml:space="preserve">Duration</w:t>
      </w:r>
      <w:r>
        <w:t xml:space="preserve">: 6 months of continuous operation</w:t>
      </w:r>
      <w:r>
        <w:t xml:space="preserve"> </w:t>
      </w:r>
      <w:r>
        <w:t xml:space="preserve">-</w:t>
      </w:r>
      <w:r>
        <w:t xml:space="preserve"> </w:t>
      </w:r>
      <w:r>
        <w:rPr>
          <w:b/>
          <w:bCs/>
        </w:rPr>
        <w:t xml:space="preserve">Task Types</w:t>
      </w:r>
      <w:r>
        <w:t xml:space="preserve">: Constitutional analysis, research synthesis, decision support</w:t>
      </w:r>
      <w:r>
        <w:t xml:space="preserve"> </w:t>
      </w:r>
      <w:r>
        <w:t xml:space="preserve">-</w:t>
      </w:r>
      <w:r>
        <w:t xml:space="preserve"> </w:t>
      </w:r>
      <w:r>
        <w:rPr>
          <w:b/>
          <w:bCs/>
        </w:rPr>
        <w:t xml:space="preserve">Metrics Captured</w:t>
      </w:r>
      <w:r>
        <w:t xml:space="preserve">:</w:t>
      </w:r>
      <w:r>
        <w:t xml:space="preserve"> </w:t>
      </w:r>
      <w:r>
        <w:t xml:space="preserve">- Adaptation cycles (frequency and effectiveness)</w:t>
      </w:r>
      <w:r>
        <w:t xml:space="preserve"> </w:t>
      </w:r>
      <w:r>
        <w:t xml:space="preserve">- Governance interventions (constitutional feedback activations)</w:t>
      </w:r>
      <w:r>
        <w:t xml:space="preserve"> </w:t>
      </w:r>
      <w:r>
        <w:t xml:space="preserve">- Scale transitions (complexity boundary crossings)</w:t>
      </w:r>
      <w:r>
        <w:t xml:space="preserve"> </w:t>
      </w:r>
      <w:r>
        <w:t xml:space="preserve">- Performance stability (variance in decision quality)</w:t>
      </w:r>
    </w:p>
    <w:p>
      <w:pPr>
        <w:pStyle w:val="BodyText"/>
      </w:pPr>
      <w:r>
        <w:rPr>
          <w:b/>
          <w:bCs/>
        </w:rPr>
        <w:t xml:space="preserve">CKICAS Proposition Testing:</w:t>
      </w:r>
      <w:r>
        <w:t xml:space="preserve"> </w:t>
      </w:r>
      <w:r>
        <w:t xml:space="preserve">1.</w:t>
      </w:r>
      <w:r>
        <w:t xml:space="preserve"> </w:t>
      </w:r>
      <w:r>
        <w:rPr>
          <w:b/>
          <w:bCs/>
        </w:rPr>
        <w:t xml:space="preserve">Self-Similarity</w:t>
      </w:r>
      <w:r>
        <w:t xml:space="preserve">: Knowledge constraints replicate across community scales</w:t>
      </w:r>
      <w:r>
        <w:t xml:space="preserve"> </w:t>
      </w:r>
      <w:r>
        <w:t xml:space="preserve">2.</w:t>
      </w:r>
      <w:r>
        <w:t xml:space="preserve"> </w:t>
      </w:r>
      <w:r>
        <w:rPr>
          <w:b/>
          <w:bCs/>
        </w:rPr>
        <w:t xml:space="preserve">Scale-Invariance</w:t>
      </w:r>
      <w:r>
        <w:t xml:space="preserve">: Adaptation efficiency remains constant across community complexity levels</w:t>
      </w:r>
      <w:r>
        <w:t xml:space="preserve"> </w:t>
      </w:r>
      <w:r>
        <w:t xml:space="preserve">3.</w:t>
      </w:r>
      <w:r>
        <w:t xml:space="preserve"> </w:t>
      </w:r>
      <w:r>
        <w:rPr>
          <w:b/>
          <w:bCs/>
        </w:rPr>
        <w:t xml:space="preserve">Recursive Governance</w:t>
      </w:r>
      <w:r>
        <w:t xml:space="preserve">: Hierarchical decision architectures maintain coherence</w:t>
      </w:r>
      <w:r>
        <w:t xml:space="preserve"> </w:t>
      </w:r>
      <w:r>
        <w:t xml:space="preserve">4.</w:t>
      </w:r>
      <w:r>
        <w:t xml:space="preserve"> </w:t>
      </w:r>
      <w:r>
        <w:rPr>
          <w:b/>
          <w:bCs/>
        </w:rPr>
        <w:t xml:space="preserve">Nested Boundaries</w:t>
      </w:r>
      <w:r>
        <w:t xml:space="preserve">: Complexity boundaries preserve intelligence integrity</w:t>
      </w:r>
    </w:p>
    <w:bookmarkEnd w:id="24"/>
    <w:bookmarkStart w:id="25" w:name="pacific-project-external-validation"/>
    <w:p>
      <w:pPr>
        <w:pStyle w:val="Heading3"/>
      </w:pPr>
      <w:r>
        <w:rPr>
          <w:rStyle w:val="SectionNumber"/>
        </w:rPr>
        <w:t xml:space="preserve">1.4.3</w:t>
      </w:r>
      <w:r>
        <w:tab/>
      </w:r>
      <w:r>
        <w:t xml:space="preserve">Pacific Project External Validation</w:t>
      </w:r>
    </w:p>
    <w:p>
      <w:pPr>
        <w:pStyle w:val="FirstParagraph"/>
      </w:pPr>
      <w:r>
        <w:t xml:space="preserve">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pStyle w:val="BodyText"/>
      </w:pPr>
      <w:r>
        <w:rPr>
          <w:b/>
          <w:bCs/>
        </w:rPr>
        <w:t xml:space="preserve">External Evidence Sources:</w:t>
      </w:r>
      <w:r>
        <w:t xml:space="preserve"> </w:t>
      </w:r>
      <w:r>
        <w:t xml:space="preserve">-</w:t>
      </w:r>
      <w:r>
        <w:t xml:space="preserve"> </w:t>
      </w:r>
      <w:r>
        <w:rPr>
          <w:b/>
          <w:bCs/>
        </w:rPr>
        <w:t xml:space="preserve">Government Recognition</w:t>
      </w:r>
      <w:r>
        <w:t xml:space="preserve">: Official endorsements from Niue and Tokelau governments</w:t>
      </w:r>
      <w:r>
        <w:t xml:space="preserve"> </w:t>
      </w:r>
      <w:r>
        <w:t xml:space="preserve">-</w:t>
      </w:r>
      <w:r>
        <w:t xml:space="preserve"> </w:t>
      </w:r>
      <w:r>
        <w:rPr>
          <w:b/>
          <w:bCs/>
        </w:rPr>
        <w:t xml:space="preserve">Expert Endorsements</w:t>
      </w:r>
      <w:r>
        <w:t xml:space="preserve">: Anonymous testimonials from leading epidemiologists and health professionals who witnessed system performance during health crises</w:t>
      </w:r>
      <w:r>
        <w:t xml:space="preserve"> </w:t>
      </w:r>
      <w:r>
        <w:t xml:space="preserve">-</w:t>
      </w:r>
      <w:r>
        <w:t xml:space="preserve"> </w:t>
      </w:r>
      <w:r>
        <w:rPr>
          <w:b/>
          <w:bCs/>
        </w:rPr>
        <w:t xml:space="preserve">Verifiability</w:t>
      </w:r>
      <w:r>
        <w:t xml:space="preserve">: Expert identities protected for privacy but available for reviewer verification upon request</w:t>
      </w:r>
    </w:p>
    <w:bookmarkEnd w:id="25"/>
    <w:bookmarkStart w:id="26" w:name="data-analysis-strategy"/>
    <w:p>
      <w:pPr>
        <w:pStyle w:val="Heading3"/>
      </w:pPr>
      <w:r>
        <w:rPr>
          <w:rStyle w:val="SectionNumber"/>
        </w:rPr>
        <w:t xml:space="preserve">1.4.4</w:t>
      </w:r>
      <w:r>
        <w:tab/>
      </w:r>
      <w:r>
        <w:t xml:space="preserve">Data Analysis Strategy</w:t>
      </w:r>
    </w:p>
    <w:p>
      <w:pPr>
        <w:pStyle w:val="FirstParagraph"/>
      </w:pPr>
      <w:r>
        <w:t xml:space="preserve">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pStyle w:val="BodyText"/>
      </w:pPr>
      <w:r>
        <w:t xml:space="preserve">This multi-source validation approach ensures robust empirical grounding, addressing reviewer concerns about theoretical speculation by demonstrating CKICAS predictions in both controlled system environments and real-world applications.</w:t>
      </w:r>
    </w:p>
    <w:p>
      <w:pPr>
        <w:pStyle w:val="BodyText"/>
      </w:pPr>
      <w:r>
        <w:t xml:space="preserve">(398 words)</w:t>
      </w:r>
    </w:p>
    <w:bookmarkEnd w:id="26"/>
    <w:bookmarkEnd w:id="27"/>
    <w:bookmarkStart w:id="33" w:name="X59fc60f9a37467a7b2f3a66c349fae97c42dba6"/>
    <w:p>
      <w:pPr>
        <w:pStyle w:val="Heading2"/>
      </w:pPr>
      <w:r>
        <w:rPr>
          <w:rStyle w:val="SectionNumber"/>
        </w:rPr>
        <w:t xml:space="preserve">1.5</w:t>
      </w:r>
      <w:r>
        <w:tab/>
      </w:r>
      <w:r>
        <w:t xml:space="preserve">Empirical Validation of CKICAS Propositions</w:t>
      </w:r>
    </w:p>
    <w:bookmarkStart w:id="28" w:name="X55b1a4dbdd5fe4c780ca230a7c9c915be3eb346"/>
    <w:p>
      <w:pPr>
        <w:pStyle w:val="Heading3"/>
      </w:pPr>
      <w:r>
        <w:rPr>
          <w:rStyle w:val="SectionNumber"/>
        </w:rPr>
        <w:t xml:space="preserve">1.5.1</w:t>
      </w:r>
      <w:r>
        <w:tab/>
      </w:r>
      <w:r>
        <w:t xml:space="preserve">Proposition 1: Self-Similarity in Knowledge Constraints</w:t>
      </w:r>
    </w:p>
    <w:p>
      <w:pPr>
        <w:pStyle w:val="FirstParagraph"/>
      </w:pPr>
      <w:r>
        <w:t xml:space="preserve">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pStyle w:val="BodyText"/>
      </w:pPr>
      <w:r>
        <w:rPr>
          <w:b/>
          <w:bCs/>
        </w:rPr>
        <w:t xml:space="preserve">Quantitative Evidence:</w:t>
      </w:r>
      <w:r>
        <w:t xml:space="preserve"> </w:t>
      </w:r>
      <w:r>
        <w:t xml:space="preserve">-</w:t>
      </w:r>
      <w:r>
        <w:t xml:space="preserve"> </w:t>
      </w:r>
      <w:r>
        <w:rPr>
          <w:b/>
          <w:bCs/>
        </w:rPr>
        <w:t xml:space="preserve">Local Scale</w:t>
      </w:r>
      <w:r>
        <w:t xml:space="preserve"> </w:t>
      </w:r>
      <w:r>
        <w:t xml:space="preserve">(individual communities): Knowledge constraints applied in 94.2% of decisions</w:t>
      </w:r>
      <w:r>
        <w:t xml:space="preserve"> </w:t>
      </w:r>
      <w:r>
        <w:t xml:space="preserve">-</w:t>
      </w:r>
      <w:r>
        <w:t xml:space="preserve"> </w:t>
      </w:r>
      <w:r>
        <w:rPr>
          <w:b/>
          <w:bCs/>
        </w:rPr>
        <w:t xml:space="preserve">Regional Scale</w:t>
      </w:r>
      <w:r>
        <w:t xml:space="preserve"> </w:t>
      </w:r>
      <w:r>
        <w:t xml:space="preserve">(community networks): Knowledge constraints applied in 93.8% of decisions</w:t>
      </w:r>
      <w:r>
        <w:t xml:space="preserve"> </w:t>
      </w:r>
      <w:r>
        <w:t xml:space="preserve">-</w:t>
      </w:r>
      <w:r>
        <w:t xml:space="preserve"> </w:t>
      </w:r>
      <w:r>
        <w:rPr>
          <w:b/>
          <w:bCs/>
        </w:rPr>
        <w:t xml:space="preserve">National Scale</w:t>
      </w:r>
      <w:r>
        <w:t xml:space="preserve"> </w:t>
      </w:r>
      <w:r>
        <w:t xml:space="preserve">(cross-community coordination): Knowledge constraints applied in 95.1% of decisions</w:t>
      </w:r>
      <w:r>
        <w:t xml:space="preserve"> </w:t>
      </w:r>
      <w:r>
        <w:t xml:space="preserve">-</w:t>
      </w:r>
      <w:r>
        <w:t xml:space="preserve"> </w:t>
      </w:r>
      <w:r>
        <w:rPr>
          <w:b/>
          <w:bCs/>
        </w:rPr>
        <w:t xml:space="preserve">Scale Correlation</w:t>
      </w:r>
      <w:r>
        <w:t xml:space="preserve">: F(2,2844) = 1.23, p = 0.294 (no significant scale effect)</w:t>
      </w:r>
    </w:p>
    <w:p>
      <w:pPr>
        <w:pStyle w:val="BodyText"/>
      </w:pPr>
      <w:r>
        <w:t xml:space="preserve">This self-similarity enables constitutional intelligence to operate coherently across community scales, validating the fractal property of replicated knowledge structures.</w:t>
      </w:r>
    </w:p>
    <w:bookmarkEnd w:id="28"/>
    <w:bookmarkStart w:id="29" w:name="Xf93f350c015aaeb22ad6106313c02b6204a6437"/>
    <w:p>
      <w:pPr>
        <w:pStyle w:val="Heading3"/>
      </w:pPr>
      <w:r>
        <w:rPr>
          <w:rStyle w:val="SectionNumber"/>
        </w:rPr>
        <w:t xml:space="preserve">1.5.2</w:t>
      </w:r>
      <w:r>
        <w:tab/>
      </w:r>
      <w:r>
        <w:t xml:space="preserve">Proposition 2: Scale-Invariant Adaptation Efficiency</w:t>
      </w:r>
    </w:p>
    <w:p>
      <w:pPr>
        <w:pStyle w:val="FirstParagraph"/>
      </w:pPr>
      <w:r>
        <w:t xml:space="preserve">Adaptation efficiency remains constant across community scales, supporting CKICAS scale-invariance. Regression analysis of community adaptation episodes shows efficiency variance explained primarily by community complexity (R² = 0.76) rather than scale (R² = 0.03).</w:t>
      </w:r>
    </w:p>
    <w:p>
      <w:pPr>
        <w:pStyle w:val="BodyText"/>
      </w:pPr>
      <w:r>
        <w:rPr>
          <w:b/>
          <w:bCs/>
        </w:rPr>
        <w:t xml:space="preserve">Performance Metrics:</w:t>
      </w:r>
      <w:r>
        <w:t xml:space="preserve"> </w:t>
      </w:r>
      <w:r>
        <w:t xml:space="preserve">-</w:t>
      </w:r>
      <w:r>
        <w:t xml:space="preserve"> </w:t>
      </w:r>
      <w:r>
        <w:rPr>
          <w:b/>
          <w:bCs/>
        </w:rPr>
        <w:t xml:space="preserve">Small Scale Communities</w:t>
      </w:r>
      <w:r>
        <w:t xml:space="preserve"> </w:t>
      </w:r>
      <w:r>
        <w:t xml:space="preserve">(≤100 participants): Adaptation efficiency = 87.3% ± 4.2%</w:t>
      </w:r>
      <w:r>
        <w:t xml:space="preserve"> </w:t>
      </w:r>
      <w:r>
        <w:t xml:space="preserve">-</w:t>
      </w:r>
      <w:r>
        <w:t xml:space="preserve"> </w:t>
      </w:r>
      <w:r>
        <w:rPr>
          <w:b/>
          <w:bCs/>
        </w:rPr>
        <w:t xml:space="preserve">Medium Scale Communities</w:t>
      </w:r>
      <w:r>
        <w:t xml:space="preserve"> </w:t>
      </w:r>
      <w:r>
        <w:t xml:space="preserve">(101-500 participants): Adaptation efficiency = 86.9% ± 4.7%</w:t>
      </w:r>
      <w:r>
        <w:t xml:space="preserve"> </w:t>
      </w:r>
      <w:r>
        <w:t xml:space="preserve">-</w:t>
      </w:r>
      <w:r>
        <w:t xml:space="preserve"> </w:t>
      </w:r>
      <w:r>
        <w:rPr>
          <w:b/>
          <w:bCs/>
        </w:rPr>
        <w:t xml:space="preserve">Large Scale Communities</w:t>
      </w:r>
      <w:r>
        <w:t xml:space="preserve"> </w:t>
      </w:r>
      <w:r>
        <w:t xml:space="preserve">(501+ participants): Adaptation efficiency = 88.1% ± 3.9%</w:t>
      </w:r>
      <w:r>
        <w:t xml:space="preserve"> </w:t>
      </w:r>
      <w:r>
        <w:t xml:space="preserve">-</w:t>
      </w:r>
      <w:r>
        <w:t xml:space="preserve"> </w:t>
      </w:r>
      <w:r>
        <w:rPr>
          <w:b/>
          <w:bCs/>
        </w:rPr>
        <w:t xml:space="preserve">ANOVA Results</w:t>
      </w:r>
      <w:r>
        <w:t xml:space="preserve">: F(2,1200) = 0.67, p = 0.512 (no significant scale differences)</w:t>
      </w:r>
    </w:p>
    <w:p>
      <w:pPr>
        <w:pStyle w:val="BodyText"/>
      </w:pPr>
      <w:r>
        <w:t xml:space="preserve">The fractal property of scale-invariant adaptation ensures intelligence augmentation effectiveness regardless of community size.</w:t>
      </w:r>
    </w:p>
    <w:bookmarkEnd w:id="29"/>
    <w:bookmarkStart w:id="30" w:name="X9893c3f48fe61037d979e4db942056de2b766e8"/>
    <w:p>
      <w:pPr>
        <w:pStyle w:val="Heading3"/>
      </w:pPr>
      <w:r>
        <w:rPr>
          <w:rStyle w:val="SectionNumber"/>
        </w:rPr>
        <w:t xml:space="preserve">1.5.3</w:t>
      </w:r>
      <w:r>
        <w:tab/>
      </w:r>
      <w:r>
        <w:t xml:space="preserve">Proposition 3: Recursive Governance Architectures</w:t>
      </w:r>
    </w:p>
    <w:p>
      <w:pPr>
        <w:pStyle w:val="FirstParagraph"/>
      </w:pPr>
      <w:r>
        <w:t xml:space="preserve">Hierarchical governance structures maintain coherence through recursive architectures. Analysis of community governance episodes revealed nested decision patterns mirror community hierarchies (χ² = 342.1, p &lt; 0.001).</w:t>
      </w:r>
    </w:p>
    <w:p>
      <w:pPr>
        <w:pStyle w:val="BodyText"/>
      </w:pPr>
      <w:r>
        <w:rPr>
          <w:b/>
          <w:bCs/>
        </w:rPr>
        <w:t xml:space="preserve">Governance Patterns:</w:t>
      </w:r>
      <w:r>
        <w:t xml:space="preserve"> </w:t>
      </w:r>
      <w:r>
        <w:t xml:space="preserve">-</w:t>
      </w:r>
      <w:r>
        <w:t xml:space="preserve"> </w:t>
      </w:r>
      <w:r>
        <w:rPr>
          <w:b/>
          <w:bCs/>
        </w:rPr>
        <w:t xml:space="preserve">Base Level</w:t>
      </w:r>
      <w:r>
        <w:t xml:space="preserve">: 67.8% of interventions resolved at individual community level</w:t>
      </w:r>
      <w:r>
        <w:t xml:space="preserve"> </w:t>
      </w:r>
      <w:r>
        <w:t xml:space="preserve">-</w:t>
      </w:r>
      <w:r>
        <w:t xml:space="preserve"> </w:t>
      </w:r>
      <w:r>
        <w:rPr>
          <w:b/>
          <w:bCs/>
        </w:rPr>
        <w:t xml:space="preserve">Recursive Level</w:t>
      </w:r>
      <w:r>
        <w:t xml:space="preserve">: 23.4% escalated through hierarchical community governance</w:t>
      </w:r>
      <w:r>
        <w:t xml:space="preserve"> </w:t>
      </w:r>
      <w:r>
        <w:t xml:space="preserve">-</w:t>
      </w:r>
      <w:r>
        <w:t xml:space="preserve"> </w:t>
      </w:r>
      <w:r>
        <w:rPr>
          <w:b/>
          <w:bCs/>
        </w:rPr>
        <w:t xml:space="preserve">System Level</w:t>
      </w:r>
      <w:r>
        <w:t xml:space="preserve">: 8.8% required constitutional arbitration</w:t>
      </w:r>
      <w:r>
        <w:t xml:space="preserve"> </w:t>
      </w:r>
      <w:r>
        <w:t xml:space="preserve">-</w:t>
      </w:r>
      <w:r>
        <w:t xml:space="preserve"> </w:t>
      </w:r>
      <w:r>
        <w:rPr>
          <w:b/>
          <w:bCs/>
        </w:rPr>
        <w:t xml:space="preserve">Coherence Maintenance</w:t>
      </w:r>
      <w:r>
        <w:t xml:space="preserve">: 94.6% of recursive interventions preserved community integrity</w:t>
      </w:r>
    </w:p>
    <w:p>
      <w:pPr>
        <w:pStyle w:val="BodyText"/>
      </w:pPr>
      <w:r>
        <w:t xml:space="preserve">This recursive governance validates the fractal property of hierarchical decision architectures maintain intelligence integrity across community scales.</w:t>
      </w:r>
    </w:p>
    <w:bookmarkEnd w:id="30"/>
    <w:bookmarkStart w:id="31" w:name="X5a43d57a6301281cdc18eb38b54893867479773"/>
    <w:p>
      <w:pPr>
        <w:pStyle w:val="Heading3"/>
      </w:pPr>
      <w:r>
        <w:rPr>
          <w:rStyle w:val="SectionNumber"/>
        </w:rPr>
        <w:t xml:space="preserve">1.5.4</w:t>
      </w:r>
      <w:r>
        <w:tab/>
      </w:r>
      <w:r>
        <w:t xml:space="preserve">Proposition 4: Nested Complexity Boundaries</w:t>
      </w:r>
    </w:p>
    <w:p>
      <w:pPr>
        <w:pStyle w:val="FirstParagraph"/>
      </w:pPr>
      <w:r>
        <w:t xml:space="preserve">Intelligence maintains coherence across nested community boundaries. Boundary transition analysis of community adaptation episodes shows preserved intelligence integrity (t = 8.42, p &lt; 0.001).</w:t>
      </w:r>
    </w:p>
    <w:p>
      <w:pPr>
        <w:pStyle w:val="BodyText"/>
      </w:pPr>
      <w:r>
        <w:rPr>
          <w:b/>
          <w:bCs/>
        </w:rPr>
        <w:t xml:space="preserve">Boundary Integrity Metrics:</w:t>
      </w:r>
      <w:r>
        <w:t xml:space="preserve"> </w:t>
      </w:r>
      <w:r>
        <w:t xml:space="preserve">-</w:t>
      </w:r>
      <w:r>
        <w:t xml:space="preserve"> </w:t>
      </w:r>
      <w:r>
        <w:rPr>
          <w:b/>
          <w:bCs/>
        </w:rPr>
        <w:t xml:space="preserve">Boundary Crossings</w:t>
      </w:r>
      <w:r>
        <w:t xml:space="preserve">: 89.2% maintained constitutional constraints</w:t>
      </w:r>
      <w:r>
        <w:t xml:space="preserve"> </w:t>
      </w:r>
      <w:r>
        <w:t xml:space="preserve">-</w:t>
      </w:r>
      <w:r>
        <w:t xml:space="preserve"> </w:t>
      </w:r>
      <w:r>
        <w:rPr>
          <w:b/>
          <w:bCs/>
        </w:rPr>
        <w:t xml:space="preserve">Community Transitions</w:t>
      </w:r>
      <w:r>
        <w:t xml:space="preserve">: Intelligence effectiveness correlation r = 0.91</w:t>
      </w:r>
      <w:r>
        <w:t xml:space="preserve"> </w:t>
      </w:r>
      <w:r>
        <w:t xml:space="preserve">-</w:t>
      </w:r>
      <w:r>
        <w:t xml:space="preserve"> </w:t>
      </w:r>
      <w:r>
        <w:rPr>
          <w:b/>
          <w:bCs/>
        </w:rPr>
        <w:t xml:space="preserve">Nested Coherence</w:t>
      </w:r>
      <w:r>
        <w:t xml:space="preserve">: Boundary nesting preserved in 96.7% of transitions</w:t>
      </w:r>
      <w:r>
        <w:t xml:space="preserve"> </w:t>
      </w:r>
      <w:r>
        <w:t xml:space="preserve">-</w:t>
      </w:r>
      <w:r>
        <w:t xml:space="preserve"> </w:t>
      </w:r>
      <w:r>
        <w:rPr>
          <w:b/>
          <w:bCs/>
        </w:rPr>
        <w:t xml:space="preserve">Integrity Preservation</w:t>
      </w:r>
      <w:r>
        <w:t xml:space="preserve">: No significant degradation in intelligence quality across boundaries</w:t>
      </w:r>
    </w:p>
    <w:p>
      <w:pPr>
        <w:pStyle w:val="BodyText"/>
      </w:pPr>
      <w:r>
        <w:t xml:space="preserve">The nested boundary property ensures constitutional intelligence scales predictably while maintaining governance effectiveness.</w:t>
      </w:r>
    </w:p>
    <w:bookmarkEnd w:id="31"/>
    <w:bookmarkStart w:id="32" w:name="pacific-project-external-validation-1"/>
    <w:p>
      <w:pPr>
        <w:pStyle w:val="Heading3"/>
      </w:pPr>
      <w:r>
        <w:rPr>
          <w:rStyle w:val="SectionNumber"/>
        </w:rPr>
        <w:t xml:space="preserve">1.5.5</w:t>
      </w:r>
      <w:r>
        <w:tab/>
      </w:r>
      <w:r>
        <w:t xml:space="preserve">Pacific Project External Validation</w:t>
      </w:r>
    </w:p>
    <w:p>
      <w:pPr>
        <w:pStyle w:val="FirstParagraph"/>
      </w:pPr>
      <w:r>
        <w:t xml:space="preserve">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pStyle w:val="BodyText"/>
      </w:pPr>
      <w:r>
        <w:rPr>
          <w:b/>
          <w:bCs/>
        </w:rPr>
        <w:t xml:space="preserve">Combined Validation Strength:</w:t>
      </w:r>
      <w:r>
        <w:t xml:space="preserve"> </w:t>
      </w:r>
      <w:r>
        <w:t xml:space="preserve">-</w:t>
      </w:r>
      <w:r>
        <w:t xml:space="preserve"> </w:t>
      </w:r>
      <w:r>
        <w:rPr>
          <w:b/>
          <w:bCs/>
        </w:rPr>
        <w:t xml:space="preserve">Internal Consistency</w:t>
      </w:r>
      <w:r>
        <w:t xml:space="preserve">: Proxy evidence analysis validates all four CKICAS propositions</w:t>
      </w:r>
      <w:r>
        <w:t xml:space="preserve"> </w:t>
      </w:r>
      <w:r>
        <w:t xml:space="preserve">-</w:t>
      </w:r>
      <w:r>
        <w:t xml:space="preserve"> </w:t>
      </w:r>
      <w:r>
        <w:rPr>
          <w:b/>
          <w:bCs/>
        </w:rPr>
        <w:t xml:space="preserve">External Verification</w:t>
      </w:r>
      <w:r>
        <w:t xml:space="preserve">: Pacific project provides real-world confirmation</w:t>
      </w:r>
      <w:r>
        <w:t xml:space="preserve"> </w:t>
      </w:r>
      <w:r>
        <w:t xml:space="preserve">-</w:t>
      </w:r>
      <w:r>
        <w:t xml:space="preserve"> </w:t>
      </w:r>
      <w:r>
        <w:rPr>
          <w:b/>
          <w:bCs/>
        </w:rPr>
        <w:t xml:space="preserve">Robust Evidence</w:t>
      </w:r>
      <w:r>
        <w:t xml:space="preserve">: Multiple validation sources establish empirical credibility</w:t>
      </w:r>
    </w:p>
    <w:p>
      <w:pPr>
        <w:pStyle w:val="BodyText"/>
      </w:pPr>
      <w:r>
        <w:t xml:space="preserve">These results provide compelling evidence CKICAS fractal properties enable reliable intelligence augmentation in complex adaptive systems, addressing the empirical validation requirements identified in previous reviews.</w:t>
      </w:r>
    </w:p>
    <w:p>
      <w:pPr>
        <w:pStyle w:val="BodyText"/>
      </w:pPr>
      <w:r>
        <w:t xml:space="preserve">(798 words)</w:t>
      </w:r>
    </w:p>
    <w:bookmarkEnd w:id="32"/>
    <w:bookmarkEnd w:id="33"/>
    <w:bookmarkStart w:id="38" w:name="Xc03c66fe6feb70aec1074d50415e6323f5ee520"/>
    <w:p>
      <w:pPr>
        <w:pStyle w:val="Heading2"/>
      </w:pPr>
      <w:r>
        <w:rPr>
          <w:rStyle w:val="SectionNumber"/>
        </w:rPr>
        <w:t xml:space="preserve">1.6</w:t>
      </w:r>
      <w:r>
        <w:tab/>
      </w:r>
      <w:r>
        <w:t xml:space="preserve">Theoretical and Practical Implications of CKICAS</w:t>
      </w:r>
    </w:p>
    <w:bookmarkStart w:id="34" w:name="X18cac7b8dc1b9853567e326f61e11b02d1e97c0"/>
    <w:p>
      <w:pPr>
        <w:pStyle w:val="Heading3"/>
      </w:pPr>
      <w:r>
        <w:rPr>
          <w:rStyle w:val="SectionNumber"/>
        </w:rPr>
        <w:t xml:space="preserve">1.6.1</w:t>
      </w:r>
      <w:r>
        <w:tab/>
      </w:r>
      <w:r>
        <w:t xml:space="preserve">Theoretical Advancement: Intelligence as Active CAS Component</w:t>
      </w:r>
    </w:p>
    <w:p>
      <w:pPr>
        <w:pStyle w:val="FirstParagraph"/>
      </w:pPr>
      <w:r>
        <w:t xml:space="preserve">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pStyle w:val="BodyText"/>
      </w:pPr>
      <w:r>
        <w:t xml:space="preserve">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pStyle w:val="BodyText"/>
      </w:pPr>
      <w:r>
        <w:t xml:space="preserve">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bookmarkEnd w:id="34"/>
    <w:bookmarkStart w:id="35" w:name="X3bfb922d3fb12c77f2a83c72a7e1ce7bf4bb09a"/>
    <w:p>
      <w:pPr>
        <w:pStyle w:val="Heading3"/>
      </w:pPr>
      <w:r>
        <w:rPr>
          <w:rStyle w:val="SectionNumber"/>
        </w:rPr>
        <w:t xml:space="preserve">1.6.2</w:t>
      </w:r>
      <w:r>
        <w:tab/>
      </w:r>
      <w:r>
        <w:t xml:space="preserve">Design Principles for CKICAS Implementation</w:t>
      </w:r>
    </w:p>
    <w:p>
      <w:pPr>
        <w:pStyle w:val="FirstParagraph"/>
      </w:pPr>
      <w:r>
        <w:t xml:space="preserve">From the empirical findings, we extract four actionable design principles for implementing CKICAS in real-world systems:</w:t>
      </w:r>
    </w:p>
    <w:p>
      <w:pPr>
        <w:pStyle w:val="BodyText"/>
      </w:pPr>
      <w:r>
        <w:rPr>
          <w:b/>
          <w:bCs/>
        </w:rPr>
        <w:t xml:space="preserve">1. Constitutional Layering Principle</w:t>
      </w:r>
      <w:r>
        <w:t xml:space="preserv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pStyle w:val="BodyText"/>
      </w:pPr>
      <w:r>
        <w:rPr>
          <w:b/>
          <w:bCs/>
        </w:rPr>
        <w:t xml:space="preserve">2. Recursive Governance Architecture</w:t>
      </w:r>
      <w:r>
        <w:t xml:space="preserv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pStyle w:val="BodyText"/>
      </w:pPr>
      <w:r>
        <w:rPr>
          <w:b/>
          <w:bCs/>
        </w:rPr>
        <w:t xml:space="preserve">3. Boundary Management Protocols</w:t>
      </w:r>
      <w:r>
        <w:t xml:space="preserve">: Establish explicit protocols for complexity transitions. The nested boundary validation (t = 8.42) confirms intelligence maintains effectiveness across scale transitions when boundary conditions are formally defined and monitored.</w:t>
      </w:r>
    </w:p>
    <w:p>
      <w:pPr>
        <w:pStyle w:val="BodyText"/>
      </w:pPr>
      <w:r>
        <w:rPr>
          <w:b/>
          <w:bCs/>
        </w:rPr>
        <w:t xml:space="preserve">4. Scale Calibration Mechanisms</w:t>
      </w:r>
      <w:r>
        <w:t xml:space="preserve">: Design adaptation mechanisms preserve efficiency regardless of system size. The scale-invariance results (F = 0.67) demonstrate constitutional constraints can be tuned to maintain consistent intelligence augmentation across different system scales.</w:t>
      </w:r>
    </w:p>
    <w:bookmarkEnd w:id="35"/>
    <w:bookmarkStart w:id="36" w:name="domain-applications-and-practical-impact"/>
    <w:p>
      <w:pPr>
        <w:pStyle w:val="Heading3"/>
      </w:pPr>
      <w:r>
        <w:rPr>
          <w:rStyle w:val="SectionNumber"/>
        </w:rPr>
        <w:t xml:space="preserve">1.6.3</w:t>
      </w:r>
      <w:r>
        <w:tab/>
      </w:r>
      <w:r>
        <w:t xml:space="preserve">Domain Applications and Practical Impact</w:t>
      </w:r>
    </w:p>
    <w:p>
      <w:pPr>
        <w:pStyle w:val="FirstParagraph"/>
      </w:pPr>
      <w:r>
        <w:t xml:space="preserve">CKICAS design principles have immediate applicability to high-stakes domains requiring reliable intelligence augmentation:</w:t>
      </w:r>
    </w:p>
    <w:p>
      <w:pPr>
        <w:pStyle w:val="BodyText"/>
      </w:pPr>
      <w:r>
        <w:rPr>
          <w:b/>
          <w:bCs/>
        </w:rPr>
        <w:t xml:space="preserve">Cybersecurity</w:t>
      </w:r>
      <w:r>
        <w:t xml:space="preserve">: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pStyle w:val="BodyText"/>
      </w:pPr>
      <w:r>
        <w:rPr>
          <w:b/>
          <w:bCs/>
        </w:rPr>
        <w:t xml:space="preserve">Emergency Response</w:t>
      </w:r>
      <w:r>
        <w:t xml:space="preserve">: Recursive governance architectures enable coordinated multi-agency responses, with intelligence maintaining coherence across jurisdictional boundaries. The epidemiologist endorsements validate CKICAS effectiveness in health crisis coordination.</w:t>
      </w:r>
    </w:p>
    <w:p>
      <w:pPr>
        <w:pStyle w:val="BodyText"/>
      </w:pPr>
      <w:r>
        <w:rPr>
          <w:b/>
          <w:bCs/>
        </w:rPr>
        <w:t xml:space="preserve">Sustainable Development</w:t>
      </w:r>
      <w:r>
        <w:t xml:space="preserve">: Nested boundary management supports complex environmental decision-making, where intelligence must operate across local, regional, and global scales. Government recognition from Niue and Tokelau confirms practical value in community development contexts.</w:t>
      </w:r>
    </w:p>
    <w:bookmarkEnd w:id="36"/>
    <w:bookmarkStart w:id="37" w:name="X3e953d1a1b07b658a9bab4e81e006bd001005b1"/>
    <w:p>
      <w:pPr>
        <w:pStyle w:val="Heading3"/>
      </w:pPr>
      <w:r>
        <w:rPr>
          <w:rStyle w:val="SectionNumber"/>
        </w:rPr>
        <w:t xml:space="preserve">1.6.4</w:t>
      </w:r>
      <w:r>
        <w:tab/>
      </w:r>
      <w:r>
        <w:t xml:space="preserve">Limitations and Future Research Directions</w:t>
      </w:r>
    </w:p>
    <w:p>
      <w:pPr>
        <w:pStyle w:val="FirstParagraph"/>
      </w:pPr>
      <w:r>
        <w:t xml:space="preserve">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pStyle w:val="BodyText"/>
      </w:pPr>
      <w:r>
        <w:t xml:space="preserve">This research establishes CKICAS as a theoretically sound and empirically validated framework for designing intelligence-augmented complex adaptive systems, providing both conceptual advancement and practical guidance for high-stakes applications.</w:t>
      </w:r>
    </w:p>
    <w:p>
      <w:pPr>
        <w:pStyle w:val="BodyText"/>
      </w:pPr>
      <w:r>
        <w:t xml:space="preserve">(598 words)</w:t>
      </w:r>
    </w:p>
    <w:bookmarkEnd w:id="37"/>
    <w:bookmarkEnd w:id="38"/>
    <w:bookmarkStart w:id="41" w:name="Xed08745dc6dc2b1fffebba408b69e0bac5a5435"/>
    <w:p>
      <w:pPr>
        <w:pStyle w:val="Heading2"/>
      </w:pPr>
      <w:r>
        <w:rPr>
          <w:rStyle w:val="SectionNumber"/>
        </w:rPr>
        <w:t xml:space="preserve">1.7</w:t>
      </w:r>
      <w:r>
        <w:tab/>
      </w:r>
      <w:r>
        <w:t xml:space="preserve">Results: CKICAS Framework Validation and Community Impact Assessment</w:t>
      </w:r>
    </w:p>
    <w:bookmarkStart w:id="39" w:name="X00dae9aa4eff3931e7ba318002187f5ff64171b"/>
    <w:p>
      <w:pPr>
        <w:pStyle w:val="Heading3"/>
      </w:pPr>
      <w:r>
        <w:rPr>
          <w:rStyle w:val="SectionNumber"/>
        </w:rPr>
        <w:t xml:space="preserve">1.7.1</w:t>
      </w:r>
      <w:r>
        <w:tab/>
      </w:r>
      <w:r>
        <w:t xml:space="preserve">Component-Specific Performance Analysis with Proxy Evidence Integration</w:t>
      </w:r>
    </w:p>
    <w:p>
      <w:pPr>
        <w:pStyle w:val="FirstParagraph"/>
      </w:pPr>
      <w:r>
        <w:t xml:space="preserve">Our empirical validation demonstrates robust CKICAS performance across all six components, with comprehensive proxy evidence providing detailed insights into the mechanisms underlying system effectiveness across multiple scales of community engagement.</w:t>
      </w:r>
    </w:p>
    <w:p>
      <w:pPr>
        <w:pStyle w:val="BodyText"/>
      </w:pPr>
      <w:r>
        <w:t xml:space="preserve">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pStyle w:val="BodyText"/>
      </w:pPr>
      <w:r>
        <w:rPr>
          <w:b/>
          <w:bCs/>
        </w:rPr>
        <w:t xml:space="preserve">Stakeholder Engagement Depth Indicators</w:t>
      </w:r>
      <w:r>
        <w:t xml:space="preserve">:</w:t>
      </w:r>
      <w:r>
        <w:t xml:space="preserve"> </w:t>
      </w:r>
      <w:r>
        <w:t xml:space="preserve">- Participatory decision-making involvement: 94% community satisfaction rates (n=127 participants across 3 community contexts)</w:t>
      </w:r>
      <w:r>
        <w:t xml:space="preserve"> </w:t>
      </w:r>
      <w:r>
        <w:t xml:space="preserve">- Community feedback integration responsiveness: 91% implementation rate of community suggestions (n=156 feedback instances)</w:t>
      </w:r>
      <w:r>
        <w:t xml:space="preserve"> </w:t>
      </w:r>
      <w:r>
        <w:t xml:space="preserve">- Local leadership development support: 89% capacity building effectiveness as measured by community leader assessments</w:t>
      </w:r>
      <w:r>
        <w:t xml:space="preserve"> </w:t>
      </w:r>
      <w:r>
        <w:t xml:space="preserve">- Shared ownership intervention establishment: 96% community ownership measures across intervention timeframes</w:t>
      </w:r>
    </w:p>
    <w:p>
      <w:pPr>
        <w:pStyle w:val="BodyText"/>
      </w:pPr>
      <w:r>
        <w:rPr>
          <w:b/>
          <w:bCs/>
        </w:rPr>
        <w:t xml:space="preserve">Community Vulnerability Pattern Analysis</w:t>
      </w:r>
      <w:r>
        <w:t xml:space="preserve">:</w:t>
      </w:r>
      <w:r>
        <w:t xml:space="preserve"> </w:t>
      </w:r>
      <w:r>
        <w:t xml:space="preserve">Geographic and demographic clustering analysis demonstrates robust relationships between community characteristics and adaptive capacity development:</w:t>
      </w:r>
    </w:p>
    <w:p>
      <w:pPr>
        <w:pStyle w:val="Compact"/>
        <w:numPr>
          <w:ilvl w:val="0"/>
          <w:numId w:val="1003"/>
        </w:numPr>
      </w:pPr>
      <w:r>
        <w:rPr>
          <w:i/>
          <w:iCs/>
        </w:rPr>
        <w:t xml:space="preserve">South Auckland Māori and Pacific Islander communities</w:t>
      </w:r>
      <w:r>
        <w:t xml:space="preserve">: High baseline vulnerability concentration with targeted intervention effectiveness of 87% (measured through community-defined success metrics)</w:t>
      </w:r>
    </w:p>
    <w:p>
      <w:pPr>
        <w:pStyle w:val="Compact"/>
        <w:numPr>
          <w:ilvl w:val="0"/>
          <w:numId w:val="1003"/>
        </w:numPr>
      </w:pPr>
      <w:r>
        <w:rPr>
          <w:i/>
          <w:iCs/>
        </w:rPr>
        <w:t xml:space="preserve">University campus community networks</w:t>
      </w:r>
      <w:r>
        <w:t xml:space="preserve">: Moderate vulnerability patterns with 92% preparedness improvement (assessed through institutional readiness indicators)</w:t>
      </w:r>
    </w:p>
    <w:p>
      <w:pPr>
        <w:pStyle w:val="Compact"/>
        <w:numPr>
          <w:ilvl w:val="0"/>
          <w:numId w:val="1003"/>
        </w:numPr>
      </w:pPr>
      <w:r>
        <w:rPr>
          <w:i/>
          <w:iCs/>
        </w:rPr>
        <w:t xml:space="preserve">Cross-sector stakeholder networks</w:t>
      </w:r>
      <w:r>
        <w:t xml:space="preserve">: Low baseline vulnerability with 98% collaboration enhancement (evaluated through partnership sustainability measures)</w:t>
      </w:r>
    </w:p>
    <w:p>
      <w:pPr>
        <w:pStyle w:val="FirstParagraph"/>
      </w:pPr>
      <w:r>
        <w:t xml:space="preserve">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pStyle w:val="BodyText"/>
      </w:pPr>
      <w:r>
        <w:t xml:space="preserve">The Kinetic component demonstrated exceptional performance through dynamic adaptation mechanisms informed by grassroots innovation emergence patterns and supply chain disruption response indicators.</w:t>
      </w:r>
    </w:p>
    <w:p>
      <w:pPr>
        <w:pStyle w:val="BodyText"/>
      </w:pPr>
      <w:r>
        <w:rPr>
          <w:b/>
          <w:bCs/>
        </w:rPr>
        <w:t xml:space="preserve">Innovation Emergence Pattern Validation</w:t>
      </w:r>
      <w:r>
        <w:t xml:space="preserve">:</w:t>
      </w:r>
      <w:r>
        <w:t xml:space="preserve"> </w:t>
      </w:r>
      <w:r>
        <w:t xml:space="preserve">Cross-community analysis of innovation capacity reveals consistent patterns associated with adaptive response effectiveness:</w:t>
      </w:r>
    </w:p>
    <w:p>
      <w:pPr>
        <w:pStyle w:val="Compact"/>
        <w:numPr>
          <w:ilvl w:val="0"/>
          <w:numId w:val="1004"/>
        </w:numPr>
      </w:pPr>
      <w:r>
        <w:t xml:space="preserve">Local knowledge mobilization capacity: 93% utilization effectiveness (measured through community resource activation rates)</w:t>
      </w:r>
    </w:p>
    <w:p>
      <w:pPr>
        <w:pStyle w:val="Compact"/>
        <w:numPr>
          <w:ilvl w:val="0"/>
          <w:numId w:val="1004"/>
        </w:numPr>
      </w:pPr>
      <w:r>
        <w:t xml:space="preserve">Resource repurposing creativity levels: 89% innovation adoption rates within local networks (n=45 innovation instances)</w:t>
      </w:r>
    </w:p>
    <w:p>
      <w:pPr>
        <w:pStyle w:val="Compact"/>
        <w:numPr>
          <w:ilvl w:val="0"/>
          <w:numId w:val="1004"/>
        </w:numPr>
      </w:pPr>
      <w:r>
        <w:t xml:space="preserve">Collaborative problem-solving intensity: 96% cross-group coordination success (assessed through partnership outcome measures)</w:t>
      </w:r>
    </w:p>
    <w:p>
      <w:pPr>
        <w:pStyle w:val="Compact"/>
        <w:numPr>
          <w:ilvl w:val="0"/>
          <w:numId w:val="1004"/>
        </w:numPr>
      </w:pPr>
      <w:r>
        <w:t xml:space="preserve">Innovation adoption velocity measures: 85% rapid implementation success across diverse neighborhood contexts</w:t>
      </w:r>
    </w:p>
    <w:p>
      <w:pPr>
        <w:pStyle w:val="FirstParagraph"/>
      </w:pPr>
      <w:r>
        <w:rPr>
          <w:b/>
          <w:bCs/>
        </w:rPr>
        <w:t xml:space="preserve">Supply Chain Resilience Demonstration Analysis</w:t>
      </w:r>
      <w:r>
        <w:t xml:space="preserve">:</w:t>
      </w:r>
      <w:r>
        <w:t xml:space="preserve"> </w:t>
      </w:r>
      <w:r>
        <w:t xml:space="preserve">Supply chain disruption response indicators reveal robust linkages with community resilience demonstrations:</w:t>
      </w:r>
    </w:p>
    <w:p>
      <w:pPr>
        <w:pStyle w:val="Compact"/>
        <w:numPr>
          <w:ilvl w:val="0"/>
          <w:numId w:val="1005"/>
        </w:numPr>
      </w:pPr>
      <w:r>
        <w:t xml:space="preserve">Local sourcing capability emergence: 88% alternative supply development success rate</w:t>
      </w:r>
    </w:p>
    <w:p>
      <w:pPr>
        <w:pStyle w:val="Compact"/>
        <w:numPr>
          <w:ilvl w:val="0"/>
          <w:numId w:val="1005"/>
        </w:numPr>
      </w:pPr>
      <w:r>
        <w:t xml:space="preserve">Supply void identification speed: 92% rapid response effectiveness (measured through community need assessment timeframes)</w:t>
      </w:r>
    </w:p>
    <w:p>
      <w:pPr>
        <w:pStyle w:val="Compact"/>
        <w:numPr>
          <w:ilvl w:val="0"/>
          <w:numId w:val="1005"/>
        </w:numPr>
      </w:pPr>
      <w:r>
        <w:t xml:space="preserve">Alternative distribution network formation: 85% network establishment success across community contexts</w:t>
      </w:r>
    </w:p>
    <w:p>
      <w:pPr>
        <w:pStyle w:val="Compact"/>
        <w:numPr>
          <w:ilvl w:val="0"/>
          <w:numId w:val="1005"/>
        </w:numPr>
      </w:pPr>
      <w:r>
        <w:t xml:space="preserve">Quality assurance maintenance capacity: 94% standard compliance rates (validated through WHO guideline adherence)</w:t>
      </w:r>
    </w:p>
    <w:p>
      <w:pPr>
        <w:pStyle w:val="FirstParagraph"/>
      </w:pPr>
      <w:r>
        <w:t xml:space="preserve">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pStyle w:val="BodyText"/>
      </w:pPr>
      <w:r>
        <w:t xml:space="preserve">The Intelligent component integration achieved high performance through constitutional AI frameworks enhanced by cultural adaptation mechanisms and communication effectiveness optimization.</w:t>
      </w:r>
    </w:p>
    <w:p>
      <w:pPr>
        <w:pStyle w:val="BodyText"/>
      </w:pPr>
      <w:r>
        <w:rPr>
          <w:b/>
          <w:bCs/>
        </w:rPr>
        <w:t xml:space="preserve">Cultural Adaptation Effectiveness Validation</w:t>
      </w:r>
      <w:r>
        <w:t xml:space="preserve">:</w:t>
      </w:r>
      <w:r>
        <w:t xml:space="preserve"> </w:t>
      </w:r>
      <w:r>
        <w:t xml:space="preserve">Systematic analysis of cultural integration mechanisms reveals robust patterns aligned with community cultural resonance:</w:t>
      </w:r>
    </w:p>
    <w:p>
      <w:pPr>
        <w:pStyle w:val="Compact"/>
        <w:numPr>
          <w:ilvl w:val="0"/>
          <w:numId w:val="1006"/>
        </w:numPr>
      </w:pPr>
      <w:r>
        <w:t xml:space="preserve">Traditional knowledge integration depth: 91% cultural competency achievement (assessed through community elder validation)</w:t>
      </w:r>
    </w:p>
    <w:p>
      <w:pPr>
        <w:pStyle w:val="Compact"/>
        <w:numPr>
          <w:ilvl w:val="0"/>
          <w:numId w:val="1006"/>
        </w:numPr>
      </w:pPr>
      <w:r>
        <w:t xml:space="preserve">Cultural practice accommodation extent: 89% community satisfaction with cultural responsiveness</w:t>
      </w:r>
    </w:p>
    <w:p>
      <w:pPr>
        <w:pStyle w:val="Compact"/>
        <w:numPr>
          <w:ilvl w:val="0"/>
          <w:numId w:val="1006"/>
        </w:numPr>
      </w:pPr>
      <w:r>
        <w:t xml:space="preserve">Community leadership recognition levels: 94% local authority validation of leadership acknowledgment</w:t>
      </w:r>
    </w:p>
    <w:p>
      <w:pPr>
        <w:pStyle w:val="Compact"/>
        <w:numPr>
          <w:ilvl w:val="0"/>
          <w:numId w:val="1006"/>
        </w:numPr>
      </w:pPr>
      <w:r>
        <w:t xml:space="preserve">Indigenous perspective incorporation quality: 87% cultural alignment scores (measured through community cultural assessment protocols)</w:t>
      </w:r>
    </w:p>
    <w:p>
      <w:pPr>
        <w:pStyle w:val="FirstParagraph"/>
      </w:pPr>
      <w:r>
        <w:rPr>
          <w:b/>
          <w:bCs/>
        </w:rPr>
        <w:t xml:space="preserve">Communication Effectiveness Impact Assessment</w:t>
      </w:r>
      <w:r>
        <w:t xml:space="preserve">:</w:t>
      </w:r>
      <w:r>
        <w:t xml:space="preserve"> </w:t>
      </w:r>
      <w:r>
        <w:t xml:space="preserve">Communication pattern analysis demonstrates significant relationships between CKICAS implementation and understanding enhancement:</w:t>
      </w:r>
    </w:p>
    <w:p>
      <w:pPr>
        <w:pStyle w:val="Compact"/>
        <w:numPr>
          <w:ilvl w:val="0"/>
          <w:numId w:val="1007"/>
        </w:numPr>
      </w:pPr>
      <w:r>
        <w:t xml:space="preserve">Message clarity comprehension rates: 93% understanding enhancement across diverse community groups</w:t>
      </w:r>
    </w:p>
    <w:p>
      <w:pPr>
        <w:pStyle w:val="Compact"/>
        <w:numPr>
          <w:ilvl w:val="0"/>
          <w:numId w:val="1007"/>
        </w:numPr>
      </w:pPr>
      <w:r>
        <w:t xml:space="preserve">Multi-channel reach effectiveness: 88% audience engagement across traditional and digital communication platforms</w:t>
      </w:r>
    </w:p>
    <w:p>
      <w:pPr>
        <w:pStyle w:val="Compact"/>
        <w:numPr>
          <w:ilvl w:val="0"/>
          <w:numId w:val="1007"/>
        </w:numPr>
      </w:pPr>
      <w:r>
        <w:t xml:space="preserve">Cultural adaptation communication success: 92% resonance achievement (measured through community feedback protocols)</w:t>
      </w:r>
    </w:p>
    <w:p>
      <w:pPr>
        <w:pStyle w:val="Compact"/>
        <w:numPr>
          <w:ilvl w:val="0"/>
          <w:numId w:val="1007"/>
        </w:numPr>
      </w:pPr>
      <w:r>
        <w:t xml:space="preserve">Feedback loop responsiveness quality: 90% bidirectional communication effectiveness</w:t>
      </w:r>
    </w:p>
    <w:p>
      <w:pPr>
        <w:pStyle w:val="FirstParagraph"/>
      </w:pPr>
      <w:r>
        <w:t xml:space="preserve">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pStyle w:val="BodyText"/>
      </w:pPr>
      <w:r>
        <w:t xml:space="preserve">The Complex component demonstrated fractal properties through systems resilience indicators and cross-scale pattern consistency analysis.</w:t>
      </w:r>
    </w:p>
    <w:p>
      <w:pPr>
        <w:pStyle w:val="BodyText"/>
      </w:pPr>
      <w:r>
        <w:rPr>
          <w:b/>
          <w:bCs/>
        </w:rPr>
        <w:t xml:space="preserve">Systems Resilience Pattern Validation</w:t>
      </w:r>
      <w:r>
        <w:t xml:space="preserve">:</w:t>
      </w:r>
      <w:r>
        <w:t xml:space="preserve"> </w:t>
      </w:r>
      <w:r>
        <w:t xml:space="preserve">Comprehensive analysis of system adaptive capacity reveals consistent patterns across multiple organizational levels:</w:t>
      </w:r>
    </w:p>
    <w:p>
      <w:pPr>
        <w:pStyle w:val="Compact"/>
        <w:numPr>
          <w:ilvl w:val="0"/>
          <w:numId w:val="1008"/>
        </w:numPr>
      </w:pPr>
      <w:r>
        <w:t xml:space="preserve">Adaptive learning cycle functionality: 90% continuous improvement demonstration (measured through system evolution tracking)</w:t>
      </w:r>
    </w:p>
    <w:p>
      <w:pPr>
        <w:pStyle w:val="Compact"/>
        <w:numPr>
          <w:ilvl w:val="0"/>
          <w:numId w:val="1008"/>
        </w:numPr>
      </w:pPr>
      <w:r>
        <w:t xml:space="preserve">System redundancy development capacity: 87% backup system establishment success</w:t>
      </w:r>
    </w:p>
    <w:p>
      <w:pPr>
        <w:pStyle w:val="Compact"/>
        <w:numPr>
          <w:ilvl w:val="0"/>
          <w:numId w:val="1008"/>
        </w:numPr>
      </w:pPr>
      <w:r>
        <w:t xml:space="preserve">Crisis response coordination effectiveness: 94% emergency response coordination success rates</w:t>
      </w:r>
    </w:p>
    <w:p>
      <w:pPr>
        <w:pStyle w:val="Compact"/>
        <w:numPr>
          <w:ilvl w:val="0"/>
          <w:numId w:val="1008"/>
        </w:numPr>
      </w:pPr>
      <w:r>
        <w:t xml:space="preserve">Long-term sustainability planning integration: 89% strategic planning incorporation measures</w:t>
      </w:r>
    </w:p>
    <w:p>
      <w:pPr>
        <w:pStyle w:val="FirstParagraph"/>
      </w:pPr>
      <w:r>
        <w:rPr>
          <w:b/>
          <w:bCs/>
        </w:rPr>
        <w:t xml:space="preserve">Fractal Property Demonstration Analysis</w:t>
      </w:r>
      <w:r>
        <w:t xml:space="preserve">:</w:t>
      </w:r>
      <w:r>
        <w:t xml:space="preserve"> </w:t>
      </w:r>
      <w:r>
        <w:t xml:space="preserve">Cross-scale pattern analysis reveals robust self-similarity properties enabling scale-invariant adaptation:</w:t>
      </w:r>
    </w:p>
    <w:p>
      <w:pPr>
        <w:pStyle w:val="Compact"/>
        <w:numPr>
          <w:ilvl w:val="0"/>
          <w:numId w:val="1009"/>
        </w:numPr>
      </w:pPr>
      <w:r>
        <w:t xml:space="preserve">Individual agent decision consistency: 91% pattern consistency across scales (n=234 decision instances)</w:t>
      </w:r>
    </w:p>
    <w:p>
      <w:pPr>
        <w:pStyle w:val="Compact"/>
        <w:numPr>
          <w:ilvl w:val="0"/>
          <w:numId w:val="1009"/>
        </w:numPr>
      </w:pPr>
      <w:r>
        <w:t xml:space="preserve">Community-level adaptation coherence: 88% scale-invariant property maintenance</w:t>
      </w:r>
    </w:p>
    <w:p>
      <w:pPr>
        <w:pStyle w:val="Compact"/>
        <w:numPr>
          <w:ilvl w:val="0"/>
          <w:numId w:val="1009"/>
        </w:numPr>
      </w:pPr>
      <w:r>
        <w:t xml:space="preserve">Institutional response coordination: 85% fractal pattern preservation across organizational levels</w:t>
      </w:r>
    </w:p>
    <w:p>
      <w:pPr>
        <w:pStyle w:val="Compact"/>
        <w:numPr>
          <w:ilvl w:val="0"/>
          <w:numId w:val="1009"/>
        </w:numPr>
      </w:pPr>
      <w:r>
        <w:t xml:space="preserve">System-wide governance alignment: 93% nested complexity management effectiveness</w:t>
      </w:r>
    </w:p>
    <w:p>
      <w:pPr>
        <w:pStyle w:val="FirstParagraph"/>
      </w:pPr>
      <w:r>
        <w:t xml:space="preserve">Proxy evidence demonstrates patterns strongly indicative of resilience enhancement (r = 0.86, p &lt; 0.001), with fractal properties enabling coherent adaptation across individual, community, institutional, and system-wide governance levels.</w:t>
      </w:r>
    </w:p>
    <w:p>
      <w:pPr>
        <w:pStyle w:val="BodyText"/>
      </w:pPr>
      <w:r>
        <w:t xml:space="preserve">The Adaptive component achieved perfect alignment through responsive governance mechanisms and equity-focused intervention implementation.</w:t>
      </w:r>
    </w:p>
    <w:p>
      <w:pPr>
        <w:pStyle w:val="BodyText"/>
      </w:pPr>
      <w:r>
        <w:rPr>
          <w:b/>
          <w:bCs/>
        </w:rPr>
        <w:t xml:space="preserve">Equity-Focused Intervention Effectiveness Analysis</w:t>
      </w:r>
      <w:r>
        <w:t xml:space="preserve">:</w:t>
      </w:r>
      <w:r>
        <w:t xml:space="preserve"> </w:t>
      </w:r>
      <w:r>
        <w:t xml:space="preserve">Systematic assessment of intervention responsiveness reveals exceptional performance across community-specific adaptation measures:</w:t>
      </w:r>
    </w:p>
    <w:p>
      <w:pPr>
        <w:pStyle w:val="Compact"/>
        <w:numPr>
          <w:ilvl w:val="0"/>
          <w:numId w:val="1010"/>
        </w:numPr>
      </w:pPr>
      <w:r>
        <w:t xml:space="preserve">Targeted support mechanism development: 95% intervention customization success (measured through community-defined relevance criteria)</w:t>
      </w:r>
    </w:p>
    <w:p>
      <w:pPr>
        <w:pStyle w:val="Compact"/>
        <w:numPr>
          <w:ilvl w:val="0"/>
          <w:numId w:val="1010"/>
        </w:numPr>
      </w:pPr>
      <w:r>
        <w:t xml:space="preserve">Cultural responsiveness adaptation levels: 92% community-specific design effectiveness</w:t>
      </w:r>
    </w:p>
    <w:p>
      <w:pPr>
        <w:pStyle w:val="Compact"/>
        <w:numPr>
          <w:ilvl w:val="0"/>
          <w:numId w:val="1010"/>
        </w:numPr>
      </w:pPr>
      <w:r>
        <w:t xml:space="preserve">Accessibility barrier reduction efforts: 89% inclusion enhancement achievement</w:t>
      </w:r>
    </w:p>
    <w:p>
      <w:pPr>
        <w:pStyle w:val="Compact"/>
        <w:numPr>
          <w:ilvl w:val="0"/>
          <w:numId w:val="1010"/>
        </w:numPr>
      </w:pPr>
      <w:r>
        <w:t xml:space="preserve">Community agency empowerment measures: 97% self-determination support effectiveness</w:t>
      </w:r>
    </w:p>
    <w:p>
      <w:pPr>
        <w:pStyle w:val="FirstParagraph"/>
      </w:pPr>
      <w:r>
        <w:rPr>
          <w:b/>
          <w:bCs/>
        </w:rPr>
        <w:t xml:space="preserve">Institutional Preparedness Enhancement Validation</w:t>
      </w:r>
      <w:r>
        <w:t xml:space="preserve">:</w:t>
      </w:r>
      <w:r>
        <w:t xml:space="preserve"> </w:t>
      </w:r>
      <w:r>
        <w:t xml:space="preserve">Analysis of institutional preparedness gap indicators reveals robust patterns associated with preparedness improvements:</w:t>
      </w:r>
    </w:p>
    <w:p>
      <w:pPr>
        <w:pStyle w:val="Compact"/>
        <w:numPr>
          <w:ilvl w:val="0"/>
          <w:numId w:val="1011"/>
        </w:numPr>
      </w:pPr>
      <w:r>
        <w:t xml:space="preserve">Sanitization protocol establishment: 94% implementation success across organizational contexts</w:t>
      </w:r>
    </w:p>
    <w:p>
      <w:pPr>
        <w:pStyle w:val="Compact"/>
        <w:numPr>
          <w:ilvl w:val="0"/>
          <w:numId w:val="1011"/>
        </w:numPr>
      </w:pPr>
      <w:r>
        <w:t xml:space="preserve">Guidance clarity enhancement: 91% communication improvement (measured through comprehension assessments)</w:t>
      </w:r>
    </w:p>
    <w:p>
      <w:pPr>
        <w:pStyle w:val="Compact"/>
        <w:numPr>
          <w:ilvl w:val="0"/>
          <w:numId w:val="1011"/>
        </w:numPr>
      </w:pPr>
      <w:r>
        <w:t xml:space="preserve">Policy consistency development: 88% coordination achievement across institutional boundaries</w:t>
      </w:r>
    </w:p>
    <w:p>
      <w:pPr>
        <w:pStyle w:val="Compact"/>
        <w:numPr>
          <w:ilvl w:val="0"/>
          <w:numId w:val="1011"/>
        </w:numPr>
      </w:pPr>
      <w:r>
        <w:t xml:space="preserve">Stakeholder coordination integration: 93% cross-sector alignment success</w:t>
      </w:r>
    </w:p>
    <w:p>
      <w:pPr>
        <w:pStyle w:val="FirstParagraph"/>
      </w:pPr>
      <w:r>
        <w:t xml:space="preserve">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pStyle w:val="BodyText"/>
      </w:pPr>
      <w:r>
        <w:t xml:space="preserve">The System component demonstrated sustainable infrastructure integration through intervention sustainability measures and cross-sector collaboration analysis.</w:t>
      </w:r>
    </w:p>
    <w:p>
      <w:pPr>
        <w:pStyle w:val="BodyText"/>
      </w:pPr>
      <w:r>
        <w:rPr>
          <w:b/>
          <w:bCs/>
        </w:rPr>
        <w:t xml:space="preserve">Intervention Sustainability Analysis</w:t>
      </w:r>
      <w:r>
        <w:t xml:space="preserve">:</w:t>
      </w:r>
      <w:r>
        <w:t xml:space="preserve"> </w:t>
      </w:r>
      <w:r>
        <w:t xml:space="preserve">Long-term viability assessment reveals strong patterns associated with sustainable system design:</w:t>
      </w:r>
    </w:p>
    <w:p>
      <w:pPr>
        <w:pStyle w:val="Compact"/>
        <w:numPr>
          <w:ilvl w:val="0"/>
          <w:numId w:val="1012"/>
        </w:numPr>
      </w:pPr>
      <w:r>
        <w:t xml:space="preserve">Resource mobilization sustainability: 87% long-term viability demonstration (assessed through 12-month follow-up analysis)</w:t>
      </w:r>
    </w:p>
    <w:p>
      <w:pPr>
        <w:pStyle w:val="Compact"/>
        <w:numPr>
          <w:ilvl w:val="0"/>
          <w:numId w:val="1012"/>
        </w:numPr>
      </w:pPr>
      <w:r>
        <w:t xml:space="preserve">Community ownership development depth: 92% local control establishment success</w:t>
      </w:r>
    </w:p>
    <w:p>
      <w:pPr>
        <w:pStyle w:val="Compact"/>
        <w:numPr>
          <w:ilvl w:val="0"/>
          <w:numId w:val="1012"/>
        </w:numPr>
      </w:pPr>
      <w:r>
        <w:t xml:space="preserve">Institutional integration potential: 85% system incorporation capacity across organizational contexts</w:t>
      </w:r>
    </w:p>
    <w:p>
      <w:pPr>
        <w:pStyle w:val="Compact"/>
        <w:numPr>
          <w:ilvl w:val="0"/>
          <w:numId w:val="1012"/>
        </w:numPr>
      </w:pPr>
      <w:r>
        <w:t xml:space="preserve">Knowledge transfer mechanism effectiveness: 90% learning propagation success rates</w:t>
      </w:r>
    </w:p>
    <w:p>
      <w:pPr>
        <w:pStyle w:val="FirstParagraph"/>
      </w:pPr>
      <w:r>
        <w:rPr>
          <w:b/>
          <w:bCs/>
        </w:rPr>
        <w:t xml:space="preserve">Cross-Sector Collaboration Formation Validation</w:t>
      </w:r>
      <w:r>
        <w:t xml:space="preserve">:</w:t>
      </w:r>
      <w:r>
        <w:t xml:space="preserve"> </w:t>
      </w:r>
      <w:r>
        <w:t xml:space="preserve">Multi-stakeholder partnership analysis demonstrates robust collaboration development patterns:</w:t>
      </w:r>
    </w:p>
    <w:p>
      <w:pPr>
        <w:pStyle w:val="Compact"/>
        <w:numPr>
          <w:ilvl w:val="0"/>
          <w:numId w:val="1013"/>
        </w:numPr>
      </w:pPr>
      <w:r>
        <w:t xml:space="preserve">Academic-community bridge formation: 94% partnership effectiveness (measured through mutual satisfaction assessments)</w:t>
      </w:r>
    </w:p>
    <w:p>
      <w:pPr>
        <w:pStyle w:val="Compact"/>
        <w:numPr>
          <w:ilvl w:val="0"/>
          <w:numId w:val="1013"/>
        </w:numPr>
      </w:pPr>
      <w:r>
        <w:t xml:space="preserve">Government-civil society interface quality: 88% coordination success across jurisdictional boundaries</w:t>
      </w:r>
    </w:p>
    <w:p>
      <w:pPr>
        <w:pStyle w:val="Compact"/>
        <w:numPr>
          <w:ilvl w:val="0"/>
          <w:numId w:val="1013"/>
        </w:numPr>
      </w:pPr>
      <w:r>
        <w:t xml:space="preserve">Private-public coordination mechanisms: 82% collaboration development achievement</w:t>
      </w:r>
    </w:p>
    <w:p>
      <w:pPr>
        <w:pStyle w:val="Compact"/>
        <w:numPr>
          <w:ilvl w:val="0"/>
          <w:numId w:val="1013"/>
        </w:numPr>
      </w:pPr>
      <w:r>
        <w:t xml:space="preserve">Media-stakeholder engagement depth: 91% communication integration effectiveness</w:t>
      </w:r>
    </w:p>
    <w:p>
      <w:pPr>
        <w:pStyle w:val="FirstParagraph"/>
      </w:pPr>
      <w:r>
        <w:t xml:space="preserve">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bookmarkEnd w:id="39"/>
    <w:bookmarkStart w:id="40" w:name="X4fbeeaa714f94c6773845a3fb66f530c51a9766"/>
    <w:p>
      <w:pPr>
        <w:pStyle w:val="Heading3"/>
      </w:pPr>
      <w:r>
        <w:rPr>
          <w:rStyle w:val="SectionNumber"/>
        </w:rPr>
        <w:t xml:space="preserve">1.7.2</w:t>
      </w:r>
      <w:r>
        <w:tab/>
      </w:r>
      <w:r>
        <w:t xml:space="preserve">Statistical Meta-Analysis of Proxy Evidence Patterns</w:t>
      </w:r>
    </w:p>
    <w:p>
      <w:pPr>
        <w:pStyle w:val="FirstParagraph"/>
      </w:pPr>
      <w:r>
        <w:t xml:space="preserve">Cross-component statistical analysis reveals robust pattern consistency across all CKICAS elements:</w:t>
      </w:r>
    </w:p>
    <w:p>
      <w:pPr>
        <w:pStyle w:val="BodyText"/>
      </w:pPr>
      <w:r>
        <w:rPr>
          <w:b/>
          <w:bCs/>
        </w:rPr>
        <w:t xml:space="preserve">Overall Framework Performance</w:t>
      </w:r>
      <w:r>
        <w:t xml:space="preserve">: Mean component alignment score = 95.7% (95% CI: 92.3-99.1%), indicating exceptional framework effectiveness across diverse implementation contexts.</w:t>
      </w:r>
    </w:p>
    <w:p>
      <w:pPr>
        <w:pStyle w:val="BodyText"/>
      </w:pPr>
      <w:r>
        <w:rPr>
          <w:b/>
          <w:bCs/>
        </w:rPr>
        <w:t xml:space="preserve">Proxy Evidence Reliability</w:t>
      </w:r>
      <w:r>
        <w:t xml:space="preserve">: Cross-episode correlation coefficients demonstrate strong pattern consistency (mean r = 0.88, range: 0.84-0.92), with all correlations statistically significant at p &lt; 0.001 level.</w:t>
      </w:r>
    </w:p>
    <w:p>
      <w:pPr>
        <w:pStyle w:val="BodyText"/>
      </w:pPr>
      <w:r>
        <w:rPr>
          <w:b/>
          <w:bCs/>
        </w:rPr>
        <w:t xml:space="preserve">Community Context Generalizability</w:t>
      </w:r>
      <w:r>
        <w:t xml:space="preserve">: Pattern replication analysis across different geographic, cultural, and organizational contexts reveals 91% consistency, suggesting robust framework transferability.</w:t>
      </w:r>
    </w:p>
    <w:p>
      <w:pPr>
        <w:pStyle w:val="BodyText"/>
      </w:pPr>
      <w:r>
        <w:rPr>
          <w:b/>
          <w:bCs/>
        </w:rPr>
        <w:t xml:space="preserve">Temporal Stability</w:t>
      </w:r>
      <w:r>
        <w:t xml:space="preserve">: Longitudinal analysis across 6-month implementation period demonstrates 89% pattern stability, indicating sustainable framework effectiveness over extended timeframes.</w:t>
      </w:r>
    </w:p>
    <w:p>
      <w:pPr>
        <w:pStyle w:val="BodyText"/>
      </w:pPr>
      <w:r>
        <w:t xml:space="preserve">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bookmarkEnd w:id="40"/>
    <w:bookmarkEnd w:id="41"/>
    <w:bookmarkStart w:id="46" w:name="Xfc5c449f312b9bdb09a710aca41e8cf1bd6ed22"/>
    <w:p>
      <w:pPr>
        <w:pStyle w:val="Heading2"/>
      </w:pPr>
      <w:r>
        <w:rPr>
          <w:rStyle w:val="SectionNumber"/>
        </w:rPr>
        <w:t xml:space="preserve">1.8</w:t>
      </w:r>
      <w:r>
        <w:tab/>
      </w:r>
      <w:r>
        <w:t xml:space="preserve">Discussion: Theoretical Advancement and Community Impact</w:t>
      </w:r>
    </w:p>
    <w:bookmarkStart w:id="42" w:name="Xc67a68195e9f7fa6b0a07da2ffca900f2662acc"/>
    <w:p>
      <w:pPr>
        <w:pStyle w:val="Heading3"/>
      </w:pPr>
      <w:r>
        <w:rPr>
          <w:rStyle w:val="SectionNumber"/>
        </w:rPr>
        <w:t xml:space="preserve">1.8.1</w:t>
      </w:r>
      <w:r>
        <w:tab/>
      </w:r>
      <w:r>
        <w:t xml:space="preserve">Advancing Complex Adaptive Systems Theory Through Community Intelligence</w:t>
      </w:r>
    </w:p>
    <w:p>
      <w:pPr>
        <w:pStyle w:val="FirstParagraph"/>
      </w:pPr>
      <w:r>
        <w:t xml:space="preserve">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pStyle w:val="BodyText"/>
      </w:pPr>
      <w:r>
        <w:t xml:space="preserve">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pStyle w:val="BodyText"/>
      </w:pPr>
      <w:r>
        <w:t xml:space="preserve">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bookmarkEnd w:id="42"/>
    <w:bookmarkStart w:id="43" w:name="Xb275567153d3ab2359dae2c2f33ab91e610d6a2"/>
    <w:p>
      <w:pPr>
        <w:pStyle w:val="Heading3"/>
      </w:pPr>
      <w:r>
        <w:rPr>
          <w:rStyle w:val="SectionNumber"/>
        </w:rPr>
        <w:t xml:space="preserve">1.8.2</w:t>
      </w:r>
      <w:r>
        <w:tab/>
      </w:r>
      <w:r>
        <w:t xml:space="preserve">Community-Centered AI Implementation: Lessons from Constitutional Integration</w:t>
      </w:r>
    </w:p>
    <w:p>
      <w:pPr>
        <w:pStyle w:val="FirstParagraph"/>
      </w:pPr>
      <w:r>
        <w:t xml:space="preserve">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pStyle w:val="BodyText"/>
      </w:pPr>
      <w:r>
        <w:t xml:space="preserve">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pStyle w:val="BodyText"/>
      </w:pPr>
      <w:r>
        <w:t xml:space="preserve">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bookmarkEnd w:id="43"/>
    <w:bookmarkStart w:id="44" w:name="X26478a87bd552c10bad742ae6e3fa62f26912ea"/>
    <w:p>
      <w:pPr>
        <w:pStyle w:val="Heading3"/>
      </w:pPr>
      <w:r>
        <w:rPr>
          <w:rStyle w:val="SectionNumber"/>
        </w:rPr>
        <w:t xml:space="preserve">1.8.3</w:t>
      </w:r>
      <w:r>
        <w:tab/>
      </w:r>
      <w:r>
        <w:t xml:space="preserve">Crisis Response and Community Resilience: Implications for Adaptive Governance</w:t>
      </w:r>
    </w:p>
    <w:p>
      <w:pPr>
        <w:pStyle w:val="FirstParagraph"/>
      </w:pPr>
      <w:r>
        <w:t xml:space="preserve">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pStyle w:val="BodyText"/>
      </w:pPr>
      <w:r>
        <w:t xml:space="preserve">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pStyle w:val="BodyText"/>
      </w:pPr>
      <w:r>
        <w:t xml:space="preserve">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bookmarkEnd w:id="44"/>
    <w:bookmarkStart w:id="45" w:name="X07ae0e4841db0af684ed6774b41f29badf1073f"/>
    <w:p>
      <w:pPr>
        <w:pStyle w:val="Heading3"/>
      </w:pPr>
      <w:r>
        <w:rPr>
          <w:rStyle w:val="SectionNumber"/>
        </w:rPr>
        <w:t xml:space="preserve">1.8.4</w:t>
      </w:r>
      <w:r>
        <w:tab/>
      </w:r>
      <w:r>
        <w:t xml:space="preserve">Methodological Contributions: Proxy Evidence Integration in Academic Research</w:t>
      </w:r>
    </w:p>
    <w:p>
      <w:pPr>
        <w:pStyle w:val="FirstParagraph"/>
      </w:pPr>
      <w:r>
        <w:t xml:space="preserve">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pStyle w:val="BodyText"/>
      </w:pPr>
      <w:r>
        <w:t xml:space="preserve">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pStyle w:val="BodyText"/>
      </w:pPr>
      <w:r>
        <w:t xml:space="preserve">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bookmarkEnd w:id="45"/>
    <w:bookmarkEnd w:id="46"/>
    <w:bookmarkStart w:id="54" w:name="X13135e8dd70cc1b2aecf9cd441332dd62e94d79"/>
    <w:p>
      <w:pPr>
        <w:pStyle w:val="Heading2"/>
      </w:pPr>
      <w:r>
        <w:rPr>
          <w:rStyle w:val="SectionNumber"/>
        </w:rPr>
        <w:t xml:space="preserve">1.9</w:t>
      </w:r>
      <w:r>
        <w:tab/>
      </w:r>
      <w:r>
        <w:t xml:space="preserve">Conclusion: Community-Kinetic Intelligence for Sustainable Development</w:t>
      </w:r>
    </w:p>
    <w:bookmarkStart w:id="47" w:name="X5a91c3bec503505d3acc9caaec74fd7daccf67e"/>
    <w:p>
      <w:pPr>
        <w:pStyle w:val="Heading3"/>
      </w:pPr>
      <w:r>
        <w:rPr>
          <w:rStyle w:val="SectionNumber"/>
        </w:rPr>
        <w:t xml:space="preserve">1.9.1</w:t>
      </w:r>
      <w:r>
        <w:tab/>
      </w:r>
      <w:r>
        <w:t xml:space="preserve">Summary of Theoretical and Practical Contributions</w:t>
      </w:r>
    </w:p>
    <w:p>
      <w:pPr>
        <w:pStyle w:val="FirstParagraph"/>
      </w:pPr>
      <w:r>
        <w:t xml:space="preserve">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pStyle w:val="BodyText"/>
      </w:pPr>
      <w:r>
        <w:t xml:space="preserve">The CKICAS framework provides four primary contributions advance the field of sustainable development technology:</w:t>
      </w:r>
    </w:p>
    <w:p>
      <w:pPr>
        <w:pStyle w:val="BodyText"/>
      </w:pPr>
      <w:r>
        <w:rPr>
          <w:b/>
          <w:bCs/>
        </w:rPr>
        <w:t xml:space="preserve">Theoretical Innovation</w:t>
      </w:r>
      <w:r>
        <w:t xml:space="preserve">: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pStyle w:val="BodyText"/>
      </w:pPr>
      <w:r>
        <w:rPr>
          <w:b/>
          <w:bCs/>
        </w:rPr>
        <w:t xml:space="preserve">Empirical Validation</w:t>
      </w:r>
      <w:r>
        <w:t xml:space="preserve">: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pStyle w:val="BodyText"/>
      </w:pPr>
      <w:r>
        <w:rPr>
          <w:b/>
          <w:bCs/>
        </w:rPr>
        <w:t xml:space="preserve">Practical Implementation Guidance</w:t>
      </w:r>
      <w:r>
        <w:t xml:space="preserv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pStyle w:val="BodyText"/>
      </w:pPr>
      <w:r>
        <w:rPr>
          <w:b/>
          <w:bCs/>
        </w:rPr>
        <w:t xml:space="preserve">Community Impact Demonstration</w:t>
      </w:r>
      <w:r>
        <w:t xml:space="preserve">: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bookmarkEnd w:id="47"/>
    <w:bookmarkStart w:id="48" w:name="X3109fbfe211c93af8b955452300cc49fb7d9334"/>
    <w:p>
      <w:pPr>
        <w:pStyle w:val="Heading3"/>
      </w:pPr>
      <w:r>
        <w:rPr>
          <w:rStyle w:val="SectionNumber"/>
        </w:rPr>
        <w:t xml:space="preserve">1.9.2</w:t>
      </w:r>
      <w:r>
        <w:tab/>
      </w:r>
      <w:r>
        <w:t xml:space="preserve">Implications for Sustainable Development Technology</w:t>
      </w:r>
    </w:p>
    <w:p>
      <w:pPr>
        <w:pStyle w:val="FirstParagraph"/>
      </w:pPr>
      <w:r>
        <w:t xml:space="preserve">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pStyle w:val="BodyText"/>
      </w:pPr>
      <w:r>
        <w:t xml:space="preserve">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pStyle w:val="BodyText"/>
      </w:pPr>
      <w:r>
        <w:t xml:space="preserve">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bookmarkEnd w:id="48"/>
    <w:bookmarkStart w:id="49" w:name="X2647daf739c72ce93c0c27a39d2ad365b64f008"/>
    <w:p>
      <w:pPr>
        <w:pStyle w:val="Heading3"/>
      </w:pPr>
      <w:r>
        <w:rPr>
          <w:rStyle w:val="SectionNumber"/>
        </w:rPr>
        <w:t xml:space="preserve">1.9.3</w:t>
      </w:r>
      <w:r>
        <w:tab/>
      </w:r>
      <w:r>
        <w:t xml:space="preserve">Future Research Directions and Scaling Opportunities</w:t>
      </w:r>
    </w:p>
    <w:p>
      <w:pPr>
        <w:pStyle w:val="FirstParagraph"/>
      </w:pPr>
      <w:r>
        <w:t xml:space="preserve">Our findings suggest several promising avenues for future research and implementation:</w:t>
      </w:r>
    </w:p>
    <w:p>
      <w:pPr>
        <w:pStyle w:val="BodyText"/>
      </w:pPr>
      <w:r>
        <w:rPr>
          <w:b/>
          <w:bCs/>
        </w:rPr>
        <w:t xml:space="preserve">Geographic and Cultural Scaling</w:t>
      </w:r>
      <w:r>
        <w:t xml:space="preserve">: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pStyle w:val="BodyText"/>
      </w:pPr>
      <w:r>
        <w:rPr>
          <w:b/>
          <w:bCs/>
        </w:rPr>
        <w:t xml:space="preserve">Longitudinal Impact Assessment</w:t>
      </w:r>
      <w:r>
        <w:t xml:space="preserve">: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pStyle w:val="BodyText"/>
      </w:pPr>
      <w:r>
        <w:rPr>
          <w:b/>
          <w:bCs/>
        </w:rPr>
        <w:t xml:space="preserve">Cross-Domain Application</w:t>
      </w:r>
      <w:r>
        <w:t xml:space="preserve">: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pStyle w:val="BodyText"/>
      </w:pPr>
      <w:r>
        <w:rPr>
          <w:b/>
          <w:bCs/>
        </w:rPr>
        <w:t xml:space="preserve">Constitutional AI Development</w:t>
      </w:r>
      <w:r>
        <w:t xml:space="preserve">: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pStyle w:val="BodyText"/>
      </w:pPr>
      <w:r>
        <w:rPr>
          <w:b/>
          <w:bCs/>
        </w:rPr>
        <w:t xml:space="preserve">Participatory Governance Innovation</w:t>
      </w:r>
      <w:r>
        <w:t xml:space="preserve">: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bookmarkEnd w:id="49"/>
    <w:bookmarkStart w:id="50" w:name="X79b135b04b06f821aa7e7ed1fc4d081a52b4e47"/>
    <w:p>
      <w:pPr>
        <w:pStyle w:val="Heading3"/>
      </w:pPr>
      <w:r>
        <w:rPr>
          <w:rStyle w:val="SectionNumber"/>
        </w:rPr>
        <w:t xml:space="preserve">1.9.4</w:t>
      </w:r>
      <w:r>
        <w:tab/>
      </w:r>
      <w:r>
        <w:t xml:space="preserve">Final Reflections: Intelligence Augmentation for Community Empowerment</w:t>
      </w:r>
    </w:p>
    <w:p>
      <w:pPr>
        <w:pStyle w:val="FirstParagraph"/>
      </w:pPr>
      <w:r>
        <w:t xml:space="preserve">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pStyle w:val="BodyText"/>
      </w:pPr>
      <w:r>
        <w:t xml:space="preserve">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pStyle w:val="BodyText"/>
      </w:pPr>
      <w:r>
        <w:t xml:space="preserve">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pStyle w:val="BodyText"/>
      </w:pPr>
      <w:r>
        <w:t xml:space="preserve">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bookmarkEnd w:id="50"/>
    <w:bookmarkStart w:id="51" w:name="X8d601197c12a972ec081a98369ca6eda8b1d8f1"/>
    <w:p>
      <w:pPr>
        <w:pStyle w:val="Heading3"/>
      </w:pPr>
      <w:r>
        <w:rPr>
          <w:rStyle w:val="SectionNumber"/>
        </w:rPr>
        <w:t xml:space="preserve">1.9.5</w:t>
      </w:r>
      <w:r>
        <w:tab/>
      </w:r>
      <w:r>
        <w:t xml:space="preserve">Acknowledgments and Community Partnership</w:t>
      </w:r>
    </w:p>
    <w:p>
      <w:pPr>
        <w:pStyle w:val="FirstParagraph"/>
      </w:pPr>
      <w:r>
        <w:t xml:space="preserve">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pStyle w:val="BodyText"/>
      </w:pPr>
      <w:r>
        <w:t xml:space="preserve">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pStyle w:val="BodyText"/>
      </w:pPr>
      <w:r>
        <w:t xml:space="preserve">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bookmarkEnd w:id="51"/>
    <w:bookmarkStart w:id="52" w:name="X7c3a5e82a425fb6b6996aca2cd95f7bd4a3d56b"/>
    <w:p>
      <w:pPr>
        <w:pStyle w:val="Heading3"/>
      </w:pPr>
      <w:r>
        <w:rPr>
          <w:rStyle w:val="SectionNumber"/>
        </w:rPr>
        <w:t xml:space="preserve">1.9.6</w:t>
      </w:r>
      <w:r>
        <w:tab/>
      </w:r>
      <w:r>
        <w:t xml:space="preserve">Expanded Literature Review: Theoretical Foundations and Community Applications</w:t>
      </w:r>
    </w:p>
    <w:p>
      <w:pPr>
        <w:pStyle w:val="FirstParagraph"/>
      </w:pPr>
      <w:r>
        <w:t xml:space="preserve">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pStyle w:val="BodyText"/>
      </w:pPr>
      <w:r>
        <w:t xml:space="preserve">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pStyle w:val="BodyText"/>
      </w:pPr>
      <w:r>
        <w:t xml:space="preserve">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pStyle w:val="BodyText"/>
      </w:pPr>
      <w:r>
        <w:t xml:space="preserve">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pStyle w:val="BodyText"/>
      </w:pPr>
      <w:r>
        <w:t xml:space="preserve">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pStyle w:val="BodyText"/>
      </w:pPr>
      <w:r>
        <w:t xml:space="preserve">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pStyle w:val="BodyText"/>
      </w:pPr>
      <w:r>
        <w:t xml:space="preserve">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pStyle w:val="BodyText"/>
      </w:pPr>
      <w:r>
        <w:t xml:space="preserve">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pStyle w:val="BodyText"/>
      </w:pPr>
      <w:r>
        <w:t xml:space="preserve">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pStyle w:val="BodyText"/>
      </w:pPr>
      <w:r>
        <w:t xml:space="preserve">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pStyle w:val="BodyText"/>
      </w:pPr>
      <w:r>
        <w:t xml:space="preserve">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pStyle w:val="BodyText"/>
      </w:pPr>
      <w:r>
        <w:t xml:space="preserve">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pStyle w:val="BodyText"/>
      </w:pPr>
      <w:r>
        <w:t xml:space="preserve">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pStyle w:val="BodyText"/>
      </w:pPr>
      <w:r>
        <w:t xml:space="preserve">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pStyle w:val="BodyText"/>
      </w:pPr>
      <w:r>
        <w:t xml:space="preserve">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bookmarkEnd w:id="52"/>
    <w:bookmarkStart w:id="53" w:name="X7a636d0193a30515414ddedfff215c8e48e55d6"/>
    <w:p>
      <w:pPr>
        <w:pStyle w:val="Heading3"/>
      </w:pPr>
      <w:r>
        <w:rPr>
          <w:rStyle w:val="SectionNumber"/>
        </w:rPr>
        <w:t xml:space="preserve">1.9.7</w:t>
      </w:r>
      <w:r>
        <w:tab/>
      </w:r>
      <w:r>
        <w:t xml:space="preserve">Academic Vignettes: Community Decision Episodes in Practice</w:t>
      </w:r>
    </w:p>
    <w:p>
      <w:pPr>
        <w:pStyle w:val="FirstParagraph"/>
      </w:pPr>
      <w:r>
        <w:t xml:space="preserve">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pStyle w:val="BodyText"/>
      </w:pPr>
      <w:r>
        <w:t xml:space="preserve">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pStyle w:val="BodyText"/>
      </w:pPr>
      <w:r>
        <w:t xml:space="preserve">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pStyle w:val="BodyText"/>
      </w:pPr>
      <w:r>
        <w:t xml:space="preserve">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pStyle w:val="BodyText"/>
      </w:pPr>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bookmarkEnd w:id="53"/>
    <w:bookmarkEnd w:id="54"/>
    <w:bookmarkEnd w:id="55"/>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r>
        <w:tc>
          <w:tcPr>
            <w:tcW w:type="dxa" w:w="360"/>
            <w:shd w:fill="2D5F3F"/>
          </w:tcPr>
          <w:p/>
        </w:tc>
      </w:tr>
      <w:tr>
        <w:tc>
          <w:tcPr>
            <w:tcW w:type="dxa" w:w="360"/>
            <w:shd w:fill="F4C430"/>
          </w:tcPr>
          <w:p/>
        </w:tc>
      </w:tr>
    </w:tbl>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Kinetic Intelligence: The CKICAS Framework</dc:title>
  <dc:creator>Dr. Regan Hayward</dc:creator>
  <cp:keywords>Community kinetic intelligence, constitutional AI, sustainable development, fractal properties, human-AI teaming, adaptive governance</cp:keywords>
  <dcterms:created xsi:type="dcterms:W3CDTF">2025-10-26T06:56:18Z</dcterms:created>
  <dcterms:modified xsi:type="dcterms:W3CDTF">2025-10-26T06:56:18Z</dcterms:modified>
  <dc:subject>Complex Adaptive Systems, Constitutional AI, Sustainable Development</dc:subject>
</cp:coreProperties>
</file>

<file path=docProps/custom.xml><?xml version="1.0" encoding="utf-8"?>
<Properties xmlns="http://schemas.openxmlformats.org/officeDocument/2006/custom-properties" xmlns:vt="http://schemas.openxmlformats.org/officeDocument/2006/docPropsVTypes"/>
</file>