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B.1: Level 3 Flowchart Conventions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Chart Symbols: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6548" cy="3519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548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2533650"/>
            <wp:effectExtent b="0" l="0" r="0" t="0"/>
            <wp:docPr descr="Example Image: Influence Diagram - Product Decision" id="3" name="image6.png"/>
            <a:graphic>
              <a:graphicData uri="http://schemas.openxmlformats.org/drawingml/2006/picture">
                <pic:pic>
                  <pic:nvPicPr>
                    <pic:cNvPr descr="Example Image: Influence Diagram - Product Decision" id="0" name="image6.png"/>
                    <pic:cNvPicPr preferRelativeResize="0"/>
                  </pic:nvPicPr>
                  <pic:blipFill>
                    <a:blip r:embed="rId7"/>
                    <a:srcRect b="11993" l="4361" r="9345" t="201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flowchart is explaining the process of selling products. It uses the square symbol to show a process, arrows to show the transition, and ovals to show the start and the end.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2088" cy="3924300"/>
            <wp:effectExtent b="0" l="0" r="0" t="0"/>
            <wp:docPr descr="Example Image: Payment Processing Workflow" id="2" name="image5.png"/>
            <a:graphic>
              <a:graphicData uri="http://schemas.openxmlformats.org/drawingml/2006/picture">
                <pic:pic>
                  <pic:nvPicPr>
                    <pic:cNvPr descr="Example Image: Payment Processing Workflow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flowchart shows the process of payment for an online purchase. This flowchart uses an oval symbol to indicate the beginning and end of the flowchart, uses a diamond symbol to represent a decision, and uses rectangle symbols to represent a process.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