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72B4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>
        <w:rPr>
          <w:rFonts w:ascii="Tahoma" w:hAnsi="Tahoma" w:cs="Tahoma"/>
          <w:b/>
          <w:bCs/>
          <w:sz w:val="28"/>
          <w:szCs w:val="28"/>
        </w:rPr>
        <w:t xml:space="preserve">李乐岩 </w:t>
      </w:r>
    </w:p>
    <w:p w14:paraId="0A921C1D" w14:textId="1E703BA7" w:rsidR="000E3328" w:rsidRPr="00605C97" w:rsidRDefault="000E3328" w:rsidP="000E3328">
      <w:pPr>
        <w:rPr>
          <w:rFonts w:ascii="Tahoma" w:hAnsi="Tahoma" w:cs="Tahom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https://github.com/leyancode</w:t>
        </w:r>
      </w:hyperlink>
    </w:p>
    <w:p w14:paraId="74DE0605" w14:textId="77777777" w:rsidR="000E3328" w:rsidRDefault="000E3328" w:rsidP="000E3328">
      <w:pPr>
        <w:rPr>
          <w:rFonts w:ascii="Tahoma" w:hAnsi="Tahoma" w:cs="Tahoma"/>
          <w:b/>
          <w:bCs/>
          <w:szCs w:val="21"/>
        </w:rPr>
      </w:pPr>
    </w:p>
    <w:p w14:paraId="54BD0C21" w14:textId="05C1BF8C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爱丁堡大学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 xml:space="preserve">英国 | 2025.09 – 2026.11</w:t>
        <w:br/>
        <w:t xml:space="preserve">高性能计算与数据科学 硕士</w:t>
        <w:br/>
        <w:t xml:space="preserve">课程与毕业论文 2026.08 完成｜可入职时间 2026.09.01｜学位证书 2026.11 获得</w:t>
      </w:r>
    </w:p>
    <w:p w14:paraId="73872FC4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利物浦大学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 xml:space="preserve">英国 | 2023.09 – 2025.06</w:t>
        <w:br/>
        <w:t xml:space="preserve">计算机科学 本科，西交利物浦大学 2+2 项目，一等荣誉学位</w:t>
      </w:r>
    </w:p>
    <w:p w14:paraId="244073FB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68CA768">
          <v:rect id="_x0000_i1026" style="width:0;height:1.5pt" o:hralign="center" o:hrstd="t" o:hr="t" fillcolor="#a0a0a0" stroked="f"/>
        </w:pict>
      </w:r>
    </w:p>
    <w:bookmarkEnd w:id="0"/>
    <w:p w14:paraId="02457ACE" w14:textId="77777777" w:rsidR="00931C72" w:rsidRPr="00931C72" w:rsidRDefault="000E3328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 w:hint="eastAsia"/>
          <w:b/>
          <w:bCs/>
          <w:sz w:val="24"/>
          <w:szCs w:val="24"/>
        </w:rPr>
        <w:t>项目经历：</w:t>
      </w:r>
      <w:r>
        <w:rPr>
          <w:rFonts w:ascii="Tahoma" w:hAnsi="Tahoma" w:cs="Tahoma"/>
          <w:b/>
          <w:bCs/>
          <w:sz w:val="24"/>
          <w:szCs w:val="24"/>
        </w:rPr>
        <w:br/>
      </w:r>
      <w:r>
        <w:rPr>
          <w:rFonts w:ascii="Tahoma" w:hAnsi="Tahoma" w:cs="Tahoma"/>
          <w:b/>
          <w:bCs/>
          <w:sz w:val="22"/>
        </w:rPr>
        <w:t xml:space="preserve">面向 HPC Benchmark 的 Agent 式性能分析系统（GitHub 开源、可复现）</w:t>
      </w:r>
    </w:p>
    <w:p w14:paraId="40D427F7" w14:textId="260E0A25" w:rsidR="0048748D" w:rsidRDefault="00931C72" w:rsidP="00931C72">
      <w:pPr>
        <w:rPr>
          <w:rFonts w:ascii="Tahoma" w:hAnsi="Tahoma" w:cs="Tahoma"/>
          <w:sz w:val="22"/>
        </w:rPr>
      </w:pPr>
      <w:r>
        <w:rPr>
          <w:rFonts w:ascii="Tahoma" w:hAnsi="Tahoma" w:cs="Tahoma"/>
          <w:b/>
          <w:bCs/>
          <w:sz w:val="22"/>
        </w:rPr>
        <w:t>项目描述：</w:t>
      </w:r>
      <w:r>
        <w:rPr>
          <w:rFonts w:ascii="Tahoma" w:hAnsi="Tahoma" w:cs="Tahoma"/>
          <w:sz w:val="22"/>
        </w:rPr>
        <w:t xml:space="preserve">基于真实 ARCHER2 超算上的 PETSc benchmark 运行数据，构建"确定性工具 + 可评测路由"的 Agent 式性能分析系统：将 benchmark 结果结构化为 SQLite 数据库，把性能分析任务封装为确定性分析工具，用中文规则 router 作为可验证 baseline，通过 CLI 以中文完成最优配置查询、模式对比与扩展性报告生成；进一步接入 LLM function calling router，用自建 30 问五类中文评测集对两种 router 打分——规则 83.3%、LLM 100%，并由消融实验定位分数主要来源为 system prompt 而非模型本身。代码与评测集开源：</w:t>
      </w:r>
      <w:hyperlink r:id="rId11" w:history="1">
        <w:r>
          <w:rPr>
            <w:rStyle w:val="af2"/>
            <w:rFonts w:ascii="Tahoma" w:hAnsi="Tahoma" w:cs="Tahoma"/>
            <w:sz w:val="22"/>
          </w:rPr>
          <w:t>github.com/leyancode/hpc-benchmark-agent</w:t>
        </w:r>
      </w:hyperlink>
    </w:p>
    <w:p w14:paraId="094938FC" w14:textId="1B9BBDFC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技术栈：</w:t>
        <w:br/>
        <w:t xml:space="preserve">Python、SQLite、pytest、OpenAI SDK（function calling）、PETSc、MPI、OpenMP、Slurm、Git、Linux</w:t>
      </w:r>
    </w:p>
    <w:p w14:paraId="41D47C78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0FB7D73F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设计分层架构：数据导入层（CSV → SQLite）、指标层（speedup / parallel efficiency）、工具层（最优配置查询、模式对比、扩展性报告）、路由层（规则与 LLM function calling 双实现、输出严格同构）、可观测层（trace_id + 事件流）与 CLI 层；各层输入输出合同由 165 项自动化测试钉死，全量测试离线可跑。</w:t>
      </w:r>
    </w:p>
    <w:p w14:paraId="1AC94296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实现中文规则 router：关键词意图分类 + 问题规模解析（阿拉伯数字、"100万"混写、中文数字"一百万"），缺参数主动追问、超范围明确拒答；输出与 LLM tool call 严格同构（intent + 参数），两种 router 因此可共用一套评测集，CLI 上切换只需改一行 dispatch。</w:t>
      </w:r>
    </w:p>
    <w:p w14:paraId="360C3EE6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封装确定性分析工具：单规模最优配置查询、MPI-only 与 hybrid 模式对比（数据只含 ranks/threads，故采用保守标签 mpi_like / hybrid_like）、扩展性报告生成；同一数据库生成的 Markdown 报告字节级一致（刻意不含时间戳），使"文档是否漂移"退化为一次 git diff 检查。</w:t>
      </w:r>
    </w:p>
    <w:p w14:paraId="0ED5BF32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基于真实 ARCHER2 数据验证：100 万未知数规模下单核 245.7s → 128 核 3.866s（speedup 63.6、并行效率 49.7%），识别出 2/4 核超线性加速（cache 效应，效率 147% / 126%）与 32 核 hybrid 配置的效率坍缩（0.33），并由规则自动生成中文解读段落。</w:t>
      </w:r>
    </w:p>
    <w:p w14:paraId="5A1C0001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接入 LLM function calling router：设计 tool schema（description 写明工具边界；unknowns 刻意可选——模型省略参数即「追问」、不调用工具即「拒答」）；实现防御式响应解析，把未调用工具、幻觉工具名、arguments 非合法 JSON 三类异常统一收敛为显式 unknown，绝不猜参数以避免「静默算错」；API 失败向上抛出而非回退规则 router，以免污染评测。单元测试全部经 FakeLLM 依赖注入离线运行，无需 API key。</w:t>
      </w:r>
    </w:p>
    <w:p w14:paraId="5A1C0003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建立评测机制与对比结论：自建 30 问五类中文评测集（正常 / 追问 / 拒答 / 数字陷阱 / 规则已知会错的对抗题），期望值为 tool call 而非答案文本，harness 接受任意 router 函数、对其实现无知；规则 router 83.3%、LLM router 100%，而消融实验显示同一模型不加 system prompt 仅 63.3%——准确率主要由工具说明书与策略 prompt 决定；报告如实标注局限（题量 30、单模型单次运行）。</w:t>
      </w:r>
    </w:p>
    <w:p w14:paraId="5A1C0002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实现结构化 tracing：每次提问生成唯一 trace_id，路由决策与工具调用以 JSON Lines 事件流记录（ask_start → route_result → tool_call / tool_result → answer），可完整回放一次 agent 执行；脱敏收敛在单一出口点（绝对路径降级为文件名、疑似密钥字段一律 redacted），并由扫描测试强制保证。</w:t>
      </w:r>
    </w:p>
    <w:p w14:paraId="6643A17D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工程纪律：pytest 全量离线可跑、不依赖 API key（key 走环境变量，永不入库）；README demo 命令逐条可复现（已用全新 clone 从零验证）；以"公开声称 == 已实现功能"作为文档与简历的验收约束。</w:t>
      </w:r>
    </w:p>
    <w:p w14:paraId="4F57E2FF" w14:textId="172A17F4" w:rsidR="000E3328" w:rsidRPr="00605C97" w:rsidRDefault="000E3328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CFF464F">
          <v:rect id="_x0000_i1087" style="width:0;height:1.5pt" o:hralign="center" o:hrstd="t" o:hr="t" fillcolor="#a0a0a0" stroked="f"/>
        </w:pict>
      </w:r>
    </w:p>
    <w:p w14:paraId="57284C30" w14:textId="6DFBF9B6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 xml:space="preserve">多智能体 Actor-Critic 方法中的价值函数分解研究</w:t>
        <w:br/>
      </w:r>
      <w:r>
        <w:rPr>
          <w:rFonts w:ascii="Tahoma" w:hAnsi="Tahoma" w:cs="Tahoma"/>
          <w:sz w:val="22"/>
        </w:rPr>
        <w:t xml:space="preserve">该项目研究将 VDN、QMIX 等价值函数分解方法引入 MAPPO 框架，探索 factorised critic 在 cooperative multi-agent environments 中对协作效率、收敛稳定性和策略表现的影响。该项目可作为 AI Agent 方向中多智能体协作、任务分解和策略学习的算法基础展示。代码开源：</w:t>
      </w:r>
      <w:hyperlink r:id="rId12" w:history="1">
        <w:r>
          <w:rPr>
            <w:rStyle w:val="af2"/>
            <w:rFonts w:ascii="Tahoma" w:hAnsi="Tahoma" w:cs="Tahoma"/>
            <w:sz w:val="22"/>
          </w:rPr>
          <w:t>github.com/leyancode/marl-value-factorisation</w:t>
        </w:r>
      </w:hyperlink>
    </w:p>
    <w:p w14:paraId="3FFFB763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lastRenderedPageBreak/>
        <w:t>技术栈：</w:t>
        <w:br/>
        <w:t>Python、PyTorch、ePyMARL、PyMARL、MAPPO、VDN、QMIX、多智能体强化学习</w:t>
      </w:r>
    </w:p>
    <w:p w14:paraId="3B6A45AC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76FFA12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基于 ePyMARL / PyMARL 框架实现 MAPPO、MAPPO-VDN、MAPPO-QMIX 等多智能体强化学习算法变体，并完成训练配置、实验运行和结果评估。</w:t>
      </w:r>
    </w:p>
    <w:p w14:paraId="47D5AAC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修改 actor-critic 框架中的 critic 网络结构，引入 VDN 风格的加性价值分解和 QMIX 风格的单调混合网络，探索 factorised critic 在 cooperative multi-agent tasks 中的适用性。</w:t>
      </w:r>
    </w:p>
    <w:p w14:paraId="6B04B5CE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支持 centralized training with decentralized execution 训练范式，在训练阶段利用全局状态和联合动作信息，在执行阶段由各 agent 基于局部观测独立决策。</w:t>
      </w:r>
    </w:p>
    <w:p w14:paraId="2EBF9E2B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在 Matrix Game 和 Predator-Prey 环境中设计并完成对比实验，评估不同算法在 test return、收敛速度、最终回报和协作表现上的差异。</w:t>
      </w:r>
    </w:p>
    <w:p w14:paraId="082394B1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构建实验日志记录与结果分析流程，对 reward curve、test return、convergence behaviour 和 training stability 等指标进行可视化和比较。</w:t>
      </w:r>
    </w:p>
    <w:p w14:paraId="580BFF3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分析价值函数分解方法应用于 actor-critic 框架时可能出现的不稳定问题，包括 critic approximation error、多智能体非平稳性、credit assignment 和 mixing network 表达能力限制。</w:t>
      </w:r>
    </w:p>
    <w:p w14:paraId="5F4A2A8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完成完整学术论文撰写，系统整理算法设计、代码实现、实验结果、局限性与后续改进方向。</w:t>
      </w:r>
    </w:p>
    <w:p w14:paraId="1F26CE7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3838EC30">
          <v:rect id="_x0000_i1028" style="width:0;height:1.5pt" o:hralign="center" o:hrstd="t" o:hr="t" fillcolor="#a0a0a0" stroked="f"/>
        </w:pict>
      </w:r>
    </w:p>
    <w:p w14:paraId="2ECC7B49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116897E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编程语言与工程开发：</w:t>
      </w:r>
      <w:r>
        <w:rPr>
          <w:rFonts w:ascii="Tahoma" w:hAnsi="Tahoma" w:cs="Tahoma"/>
          <w:szCs w:val="21"/>
        </w:rPr>
        <w:t xml:space="preserve"> 熟悉 Python、C/C++，掌握 SQL 基础，了解 JavaScript、HTML、CSS；可用 Python 完成 AI 应用原型、数据处理、日志解析、实验自动化与模型训练流程。</w:t>
      </w:r>
    </w:p>
    <w:p w14:paraId="74983E3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与 LLM 应用：</w:t>
      </w:r>
      <w:r>
        <w:rPr>
          <w:rFonts w:ascii="Tahoma" w:hAnsi="Tahoma" w:cs="Tahoma"/>
          <w:szCs w:val="21"/>
        </w:rPr>
        <w:t xml:space="preserve"> 了解 LLM Agent 基本架构，包括 tool calling、任务分解、RAG 检索增强生成、prompt engineering、记忆管理、多轮对话状态管理和 Markdown 报告生成；具备将大模型能力与外部工具、数据库和自动化脚本结合、并对其做离线评测的项目开发经验。</w:t>
      </w:r>
    </w:p>
    <w:p w14:paraId="0F981196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RAG 与向量检索：</w:t>
      </w:r>
      <w:r>
        <w:rPr>
          <w:rFonts w:ascii="Tahoma" w:hAnsi="Tahoma" w:cs="Tahoma"/>
          <w:szCs w:val="21"/>
        </w:rPr>
        <w:t xml:space="preserve"> 了解 Markdown 文档解析、文本切分、embedding 生成、FAISS / Chroma 向量索引、top-k 语义检索和上下文拼接流程；理解 RAG 在领域知识库问答中的适用场景与局限——本项目的数据源是结构化 benchmark 数据库，SQL 查询在准确性与可验证性上优于向量检索，因此未引入。</w:t>
      </w:r>
    </w:p>
    <w:p w14:paraId="57E76B2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后端与系统设计基础</w:t>
      </w:r>
      <w:r>
        <w:rPr>
          <w:rFonts w:ascii="Tahoma" w:hAnsi="Tahoma" w:cs="Tahoma"/>
          <w:szCs w:val="21"/>
        </w:rPr>
        <w:t xml:space="preserve">： 了解 FastAPI、REST API、HTTP、客户端与服务端交互、参数校验、异常处理、日志追踪、TraceID、任务调度、限流、幂等性和可观测性等后端工程概念。</w:t>
      </w:r>
    </w:p>
    <w:p w14:paraId="640691D4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数据库与缓存</w:t>
      </w:r>
      <w:r>
        <w:rPr>
          <w:rFonts w:ascii="Tahoma" w:hAnsi="Tahoma" w:cs="Tahoma"/>
          <w:szCs w:val="21"/>
        </w:rPr>
        <w:t xml:space="preserve">： 了解 MySQL / SQLite 使用及索引、事务、锁、查询优化等概念（本项目中实际设计了 benchmark 表结构与查询索引）；了解 Redis 常用缓存场景与 TTL、缓存穿透 / 击穿、一致性等问题。</w:t>
      </w:r>
    </w:p>
    <w:p w14:paraId="6B1569F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机器学习与数据分析</w:t>
      </w:r>
      <w:r>
        <w:rPr>
          <w:rFonts w:ascii="Tahoma" w:hAnsi="Tahoma" w:cs="Tahoma"/>
          <w:szCs w:val="21"/>
        </w:rPr>
        <w:t xml:space="preserve">： 熟悉 PyTorch，具备深度学习和多智能体强化学习算法实现与实验评估经验；熟悉 Pandas、NumPy、Matplotlib，可完成结构化数据处理、指标计算、实验日志分析和可视化。</w:t>
      </w:r>
    </w:p>
    <w:p w14:paraId="2F8F6E3E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工具与开发环境</w:t>
      </w:r>
      <w:r>
        <w:rPr>
          <w:rFonts w:ascii="Tahoma" w:hAnsi="Tahoma" w:cs="Tahoma"/>
          <w:szCs w:val="21"/>
        </w:rPr>
        <w:t xml:space="preserve">： 熟悉 Linux、Bash、Git、VS Code、Docker 基础操作；具备用自动化脚本管理实验、处理日志并构建可复现开发流程的经验。</w:t>
      </w:r>
    </w:p>
    <w:p w14:paraId="1B805F52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AC9BCB5">
          <v:rect id="_x0000_i1029" style="width:0;height:1.5pt" o:hralign="center" o:hrstd="t" o:hr="t" fillcolor="#a0a0a0" stroked="f"/>
        </w:pict>
      </w:r>
    </w:p>
    <w:p w14:paraId="26D586DC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论文发表</w:t>
      </w:r>
    </w:p>
    <w:p w14:paraId="68A376F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Li, Leyan.</w:t>
      </w:r>
      <w:r>
        <w:rPr>
          <w:rFonts w:ascii="Tahoma" w:hAnsi="Tahoma" w:cs="Tahoma"/>
          <w:szCs w:val="21"/>
        </w:rPr>
        <w:t xml:space="preserve"> Convolutional Neural Networks Based Medical Image Analysis.</w:t>
        <w:br/>
        <w:t>International Conference on Engineering Management, Information Technology and Intelligence, EMITI 2024.</w:t>
      </w:r>
    </w:p>
    <w:bookmarkEnd w:id="1"/>
    <w:p w14:paraId="6218DCA4" w14:textId="77777777" w:rsidR="000E3328" w:rsidRPr="004C7B61" w:rsidRDefault="000E3328" w:rsidP="000E3328">
      <w:pPr>
        <w:rPr>
          <w:szCs w:val="21"/>
        </w:rPr>
      </w:pPr>
    </w:p>
    <w:p w14:paraId="2C7D6A85" w14:textId="77777777" w:rsidR="00784F5A" w:rsidRPr="000E3328" w:rsidRDefault="00784F5A"/>
    <w:sectPr w:rsidR="00784F5A" w:rsidRPr="000E3328" w:rsidSect="000E3328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BCC6" w14:textId="77777777" w:rsidR="001E3674" w:rsidRDefault="001E3674" w:rsidP="000E3328">
      <w:r>
        <w:separator/>
      </w:r>
    </w:p>
  </w:endnote>
  <w:endnote w:type="continuationSeparator" w:id="0">
    <w:p w14:paraId="246A3190" w14:textId="77777777" w:rsidR="001E3674" w:rsidRDefault="001E3674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7BC2" w14:textId="77777777" w:rsidR="001E3674" w:rsidRDefault="001E3674" w:rsidP="000E3328">
      <w:r>
        <w:separator/>
      </w:r>
    </w:p>
  </w:footnote>
  <w:footnote w:type="continuationSeparator" w:id="0">
    <w:p w14:paraId="70CD76CA" w14:textId="77777777" w:rsidR="001E3674" w:rsidRDefault="001E3674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E3674"/>
    <w:rsid w:val="0048748D"/>
    <w:rsid w:val="006B6CA4"/>
    <w:rsid w:val="007560F2"/>
    <w:rsid w:val="00784F5A"/>
    <w:rsid w:val="00892A80"/>
    <w:rsid w:val="00931C72"/>
    <w:rsid w:val="00C9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leyancode/hpc-benchmark-agent" TargetMode="External"/><Relationship Id="rId12" Type="http://schemas.openxmlformats.org/officeDocument/2006/relationships/hyperlink" Target="https://github.com/leyancode/marl-value-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1527</Words>
  <Characters>2598</Characters>
  <Application>Microsoft Office Word</Application>
  <DocSecurity>0</DocSecurity>
  <Lines>61</Lines>
  <Paragraphs>45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2026-07-06T14:48:00Z</dcterms:created>
  <dcterms:modified xsi:type="dcterms:W3CDTF">2026-07-06T15:40:00Z</dcterms:modified>
</cp:coreProperties>
</file>