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ind w:left="4200" w:firstLine="420"/>
        <w:rPr>
          <w:rFonts w:ascii="Tahoma" w:hAnsi="Tahoma" w:cs="Tahoma"/>
          <w:b/>
          <w:bCs/>
          <w:sz w:val="28"/>
          <w:szCs w:val="28"/>
        </w:rPr>
      </w:pPr>
      <w:hyperlink r:id="rId90">
        <w:r>
          <w:rPr>
            <w:rFonts w:ascii="Tahoma" w:hAnsi="Tahoma" w:cs="Tahoma"/>
            <w:b/>
            <w:bCs/>
            <w:sz w:val="28"/>
            <w:szCs w:val="28"/>
          </w:rPr>
          <w:t xml:space="preserve">LEYAN LI</w:t>
        </w:r>
      </w:hyperlink>
    </w:p>
    <w:p>
      <w:pPr>
        <w:rPr>
          <w:rFonts w:ascii="Tahoma" w:hAnsi="Tahoma" w:cs="Tahoma"/>
          <w:sz w:val="19"/>
          <w:szCs w:val="19"/>
        </w:rPr>
      </w:pPr>
      <w:hyperlink r:id="rId91">
        <w:r>
          <w:rPr>
            <w:rFonts w:ascii="Tahoma" w:hAnsi="Tahoma" w:cs="Tahoma"/>
            <w:sz w:val="19"/>
            <w:szCs w:val="19"/>
          </w:rPr>
          <w:t xml:space="preserve">leyanpower@gmail.com</w:t>
        </w:r>
      </w:hyperlink>
      <w:r>
        <w:rPr>
          <w:rFonts w:ascii="Tahoma" w:hAnsi="Tahoma" w:cs="Tahoma"/>
          <w:sz w:val="19"/>
          <w:szCs w:val="19"/>
        </w:rPr>
        <w:t xml:space="preserve"> | </w:t>
      </w:r>
      <w:r>
        <w:rPr>
          <w:rFonts w:ascii="Tahoma" w:hAnsi="Tahoma" w:cs="Tahoma"/>
          <w:sz w:val="19"/>
          <w:szCs w:val="19"/>
        </w:rPr>
        <w:t xml:space="preserve">+86 18805506898</w:t>
      </w:r>
      <w:r>
        <w:rPr>
          <w:rFonts w:ascii="Tahoma" w:hAnsi="Tahoma" w:cs="Tahoma"/>
          <w:sz w:val="19"/>
          <w:szCs w:val="19"/>
        </w:rPr>
        <w:t xml:space="preserve"> | GitHub: </w:t>
      </w:r>
      <w:hyperlink r:id="rId8">
        <w:r>
          <w:rPr>
            <w:rFonts w:ascii="Tahoma" w:hAnsi="Tahoma" w:cs="Tahoma"/>
            <w:sz w:val="19"/>
            <w:szCs w:val="19"/>
          </w:rPr>
          <w:t xml:space="preserve">github.com/leyancode</w:t>
        </w:r>
      </w:hyperlink>
      <w:r>
        <w:rPr>
          <w:rFonts w:ascii="Tahoma" w:hAnsi="Tahoma" w:cs="Tahoma"/>
          <w:sz w:val="19"/>
          <w:szCs w:val="19"/>
        </w:rPr>
        <w:t xml:space="preserve"> | </w:t>
      </w:r>
      <w:hyperlink r:id="rId90">
        <w:r>
          <w:rPr>
            <w:rFonts w:ascii="Tahoma" w:hAnsi="Tahoma" w:cs="Tahoma"/>
            <w:sz w:val="19"/>
            <w:szCs w:val="19"/>
          </w:rPr>
          <w:t xml:space="preserve">leyan-li.com</w:t>
        </w:r>
      </w:hyperlink>
    </w:p>
    <w:p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Work authorisation: eligible for the UK Graduate Route on completion of my MSc — no sponsorship needed to start.</w:t>
      </w:r>
    </w:p>
    <w:p>
      <w:pPr>
        <w:rPr>
          <w:rFonts w:ascii="Tahoma" w:hAnsi="Tahoma" w:cs="Tahoma"/>
          <w:b/>
          <w:bCs/>
          <w:sz w:val="24"/>
          <w:szCs w:val="24"/>
        </w:rPr>
      </w:pPr>
      <w:r>
        <w:rPr>
          <w:rFonts w:ascii="Tahoma" w:hAnsi="Tahoma" w:cs="Tahoma"/>
          <w:b/>
          <w:bCs/>
          <w:sz w:val="24"/>
          <w:szCs w:val="24"/>
        </w:rPr>
        <w:t xml:space="preserve">EDUCATION</w:t>
      </w:r>
    </w:p>
    <w:p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University of Edinburgh</w:t>
      </w:r>
      <w:r>
        <w:rPr>
          <w:rFonts w:ascii="Tahoma" w:hAnsi="Tahoma" w:cs="Tahoma"/>
          <w:sz w:val="19"/>
          <w:szCs w:val="19"/>
        </w:rPr>
        <w:t xml:space="preserve"> — MSc High Performance Computing with Data Science | Sep 2025 – Dec 2026</w:t>
      </w:r>
    </w:p>
    <w:p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sz w:val="19"/>
          <w:szCs w:val="19"/>
        </w:rPr>
        <w:t xml:space="preserve">  Coursework and dissertation completed Aug 2026 · </w:t>
      </w:r>
      <w:r>
        <w:rPr>
          <w:rFonts w:ascii="Tahoma" w:hAnsi="Tahoma" w:cs="Tahoma"/>
          <w:b/>
          <w:bCs/>
          <w:sz w:val="19"/>
          <w:szCs w:val="19"/>
        </w:rPr>
        <w:t xml:space="preserve">available from 1 Sep 2026</w:t>
      </w:r>
      <w:r>
        <w:rPr>
          <w:rFonts w:ascii="Tahoma" w:hAnsi="Tahoma" w:cs="Tahoma"/>
          <w:sz w:val="19"/>
          <w:szCs w:val="19"/>
        </w:rPr>
        <w:t xml:space="preserve"> · degree conferred Dec 2026</w:t>
      </w:r>
    </w:p>
    <w:p>
      <w:pPr>
        <w:pBdr>
          <w:bottom w:val="single" w:sz="6" w:space="1" w:color="auto"/>
        </w:pBd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University of Liverpool</w:t>
      </w:r>
      <w:r>
        <w:rPr>
          <w:rFonts w:ascii="Tahoma" w:hAnsi="Tahoma" w:cs="Tahoma"/>
          <w:sz w:val="19"/>
          <w:szCs w:val="19"/>
        </w:rPr>
        <w:t xml:space="preserve"> — BSc (Hons) Computer Science, </w:t>
      </w:r>
      <w:r>
        <w:rPr>
          <w:rFonts w:ascii="Tahoma" w:hAnsi="Tahoma" w:cs="Tahoma"/>
          <w:b/>
          <w:bCs/>
          <w:sz w:val="19"/>
          <w:szCs w:val="19"/>
        </w:rPr>
        <w:t xml:space="preserve">First-Class Honours</w:t>
      </w:r>
      <w:r>
        <w:rPr>
          <w:rFonts w:ascii="Tahoma" w:hAnsi="Tahoma" w:cs="Tahoma"/>
          <w:sz w:val="19"/>
          <w:szCs w:val="19"/>
        </w:rPr>
        <w:t xml:space="preserve"> · 2+2 with Xi'an Jiaotong-Liverpool University | Sep 2023 – Jun 2025</w:t>
      </w:r>
    </w:p>
    <w:p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Relevant coursework: </w:t>
      </w:r>
      <w:r>
        <w:rPr>
          <w:rFonts w:ascii="Tahoma" w:hAnsi="Tahoma" w:cs="Tahoma"/>
          <w:sz w:val="19"/>
          <w:szCs w:val="19"/>
        </w:rPr>
        <w:t xml:space="preserve">Message-Passing Programming (MPI), Threaded Programming (OpenMP), HPC Architectures, Performance Programming, GPU / Accelerator Programming, Parallel Design Patterns, High-Performance Data Analytics, Machine Learning</w:t>
      </w:r>
    </w:p>
    <w:p>
      <w:pPr>
        <w:rPr>
          <w:rFonts w:ascii="Tahoma" w:hAnsi="Tahoma" w:cs="Tahoma"/>
          <w:b/>
          <w:bCs/>
          <w:sz w:val="24"/>
          <w:szCs w:val="24"/>
        </w:rPr>
      </w:pPr>
      <w:r>
        <w:rPr>
          <w:rFonts w:ascii="Tahoma" w:hAnsi="Tahoma" w:cs="Tahoma"/>
          <w:b/>
          <w:bCs/>
          <w:sz w:val="24"/>
          <w:szCs w:val="24"/>
        </w:rPr>
        <w:t xml:space="preserve">TECHNICAL SKILLS</w:t>
      </w:r>
    </w:p>
    <w:p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Languages: </w:t>
      </w:r>
      <w:r>
        <w:rPr>
          <w:rFonts w:ascii="Tahoma" w:hAnsi="Tahoma" w:cs="Tahoma"/>
          <w:sz w:val="19"/>
          <w:szCs w:val="19"/>
        </w:rPr>
        <w:t xml:space="preserve">C / C++, Python, Bash, SQL</w:t>
      </w:r>
    </w:p>
    <w:p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Parallel &amp; performance: </w:t>
      </w:r>
      <w:r>
        <w:rPr>
          <w:rFonts w:ascii="Tahoma" w:hAnsi="Tahoma" w:cs="Tahoma"/>
          <w:sz w:val="19"/>
          <w:szCs w:val="19"/>
        </w:rPr>
        <w:t xml:space="preserve">MPI, OpenMP, hybrid MPI+OpenMP, PETSc, Slurm, numactl / hwloc, Linaro MAP; strong / weak scaling, parallel efficiency, saturation points; collective-communication cost (halo exchange, allreduce); roofline and memory-bandwidth analysis; NUMA and thread affinity</w:t>
      </w:r>
    </w:p>
    <w:p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Deep learning &amp; LLM: </w:t>
      </w:r>
      <w:r>
        <w:rPr>
          <w:rFonts w:ascii="Tahoma" w:hAnsi="Tahoma" w:cs="Tahoma"/>
          <w:sz w:val="19"/>
          <w:szCs w:val="19"/>
        </w:rPr>
        <w:t xml:space="preserve">PyTorch, NumPy, pandas; LLM function calling and tool-schema design, offline evaluation sets and ablations. GPU and inference serving at coursework / self-study level: CUDA programming model, NCCL, data and tensor parallelism, batching vs. latency trade-offs, KV cache and quantisation</w:t>
      </w:r>
    </w:p>
    <w:p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Engineering: </w:t>
      </w:r>
      <w:r>
        <w:rPr>
          <w:rFonts w:ascii="Tahoma" w:hAnsi="Tahoma" w:cs="Tahoma"/>
          <w:sz w:val="19"/>
          <w:szCs w:val="19"/>
        </w:rPr>
        <w:t xml:space="preserve">Linux, Git, pytest, GitHub Actions CI, FastAPI + Pydantic, SQLite / MySQL, working knowledge of Docker</w:t>
      </w:r>
    </w:p>
    <w:p>
      <w:pPr>
        <w:rPr>
          <w:sz w:val="12"/>
        </w:rPr>
      </w:pPr>
    </w:p>
    <w:p>
      <w:pPr>
        <w:rPr>
          <w:rFonts w:ascii="Tahoma" w:hAnsi="Tahoma" w:cs="Tahoma"/>
          <w:b/>
          <w:bCs/>
          <w:sz w:val="24"/>
          <w:szCs w:val="24"/>
        </w:rPr>
      </w:pPr>
      <w:r>
        <w:rPr>
          <w:rFonts w:ascii="Tahoma" w:hAnsi="Tahoma" w:cs="Tahoma"/>
          <w:b/>
          <w:bCs/>
          <w:sz w:val="24"/>
          <w:szCs w:val="24"/>
        </w:rPr>
        <w:t xml:space="preserve">PROJECTS</w:t>
      </w:r>
    </w:p>
    <w:p>
      <w:pPr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b/>
          <w:bCs/>
          <w:sz w:val="20"/>
          <w:szCs w:val="20"/>
        </w:rPr>
        <w:t xml:space="preserve">Parallel Layout Selection and Performance Attribution at 4,096 Cores on ARCHER2</w:t>
      </w:r>
      <w:r>
        <w:rPr>
          <w:rFonts w:ascii="Tahoma" w:hAnsi="Tahoma" w:cs="Tahoma"/>
          <w:sz w:val="20"/>
          <w:szCs w:val="20"/>
        </w:rPr>
        <w:t xml:space="preserve">  | C · PETSc · MPI · OpenMP · Slurm · Linaro MAP · Python / pandas · GitHub Actions</w:t>
      </w:r>
      <w:r>
        <w:rPr>
          <w:rFonts w:ascii="Tahoma" w:hAnsi="Tahoma" w:cs="Tahoma"/>
          <w:sz w:val="20"/>
          <w:szCs w:val="20"/>
        </w:rPr>
        <w:t xml:space="preserve">  github.com/leyancode/hpc_benchmark_archer2</w:t>
      </w:r>
    </w:p>
    <w:p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sz w:val="19"/>
          <w:szCs w:val="19"/>
        </w:rPr>
        <w:t xml:space="preserve">On ARCHER2, the UK national supercomputer (dual-socket AMD EPYC 7742, 128 cores/node, Slingshot): with total core count fixed, how should work split between MPI ranks and OpenMP threads per rank? Workload was a 2D/3D stencil with CG+GAMG, 5M–165M unknowns, over four full-node layouts (128×1 / 64×2 / 32×4 / 16×8).</w:t>
      </w:r>
    </w:p>
    <w:p>
      <w:pPr>
        <w:numPr>
          <w:ilvl w:val="0"/>
          <w:numId w:val="7"/>
        </w:num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Layout selection: </w:t>
      </w:r>
      <w:r>
        <w:rPr>
          <w:rFonts w:ascii="Tahoma" w:hAnsi="Tahoma" w:cs="Tahoma"/>
          <w:sz w:val="19"/>
          <w:szCs w:val="19"/>
        </w:rPr>
        <w:t xml:space="preserve">In 2D weak scaling, 64×2 beat flat MPI by 13.1% (794.8M equations/s at 165M unknowns on 32 nodes); fixed-20M strong scaling reached 29.83× speedup at 93.2% cumulative efficiency. In 3D the optimum moved to 32×4 (up to +33.2%) and 16×8 (3.81× faster than flat MPI) — the best degree of parallelism shifts with dimension, problem size and per-core work; there is no single “optimal thread count”, and the same diminishing-returns curve governs scaling a fixed batch onto more machines.</w:t>
      </w:r>
    </w:p>
    <w:p>
      <w:pPr>
        <w:numPr>
          <w:ilvl w:val="0"/>
          <w:numId w:val="7"/>
        </w:num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Root-cause attribution: </w:t>
      </w:r>
      <w:r>
        <w:rPr>
          <w:rFonts w:ascii="Tahoma" w:hAnsi="Tahoma" w:cs="Tahoma"/>
          <w:sz w:val="19"/>
          <w:szCs w:val="19"/>
        </w:rPr>
        <w:t xml:space="preserve">Linaro MAP explained the ranking as the crossing point of two curves — as threads per rank rose, MPI share of the solve window fell 46.7% → 6.2% while OpenMP wait time rose 48.3% → 76.5%, trading communication exposure against thread idling. Ruled out threaded BLAS as an explanation (LibSci ≤ 2.1% of solve-window core-time); instrumentation perturbs runtime, so the profile ranked layouts only and was never mixed with uninstrumented timings.</w:t>
      </w:r>
    </w:p>
    <w:p>
      <w:pPr>
        <w:numPr>
          <w:ilvl w:val="0"/>
          <w:numId w:val="7"/>
        </w:num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Trustworthiness gate: </w:t>
      </w:r>
      <w:r>
        <w:rPr>
          <w:rFonts w:ascii="Tahoma" w:hAnsi="Tahoma" w:cs="Tahoma"/>
          <w:sz w:val="19"/>
          <w:szCs w:val="19"/>
        </w:rPr>
        <w:t xml:space="preserve">An audit found 302 of 303 logs whose actual MPI process count disagreed with the filename, so I discarded that entire phase of performance curves; formal conclusions rest on 408 audited runs alone. Made “parse process and thread counts from log content, not filenames” a hard check at the analysis entry point; job scripts are parameterised, pytest pins headline figures, and CI exercises the submission path against a fake Slurm.</w:t>
      </w:r>
    </w:p>
    <w:p>
      <w:pPr>
        <w:rPr>
          <w:sz w:val="6"/>
        </w:rPr>
      </w:pPr>
    </w:p>
    <w:p>
      <w:pPr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b/>
          <w:bCs/>
          <w:sz w:val="20"/>
          <w:szCs w:val="20"/>
        </w:rPr>
        <w:t xml:space="preserve">Agent-Based Performance Analysis System over the Benchmark Data</w:t>
      </w:r>
      <w:r>
        <w:rPr>
          <w:rFonts w:ascii="Tahoma" w:hAnsi="Tahoma" w:cs="Tahoma"/>
          <w:sz w:val="20"/>
          <w:szCs w:val="20"/>
        </w:rPr>
        <w:t xml:space="preserve">  | Python · SQLite · FastAPI · Pydantic · OpenAI SDK (function calling) · pytest</w:t>
      </w:r>
      <w:r>
        <w:rPr>
          <w:rFonts w:ascii="Tahoma" w:hAnsi="Tahoma" w:cs="Tahoma"/>
          <w:sz w:val="20"/>
          <w:szCs w:val="20"/>
        </w:rPr>
        <w:t xml:space="preserve">  github.com/leyancode/hpc-benchmark-agent</w:t>
      </w:r>
    </w:p>
    <w:p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sz w:val="19"/>
          <w:szCs w:val="19"/>
        </w:rPr>
        <w:t xml:space="preserve">Structured the benchmark data above into SQLite and wrapped each analysis task as a deterministic tool: the LLM only decides which tool to call and with what arguments, while every number comes from deterministic code — turning agent correctness into something measurable.</w:t>
      </w:r>
    </w:p>
    <w:p>
      <w:pPr>
        <w:numPr>
          <w:ilvl w:val="0"/>
          <w:numId w:val="7"/>
        </w:num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Measurable routing: </w:t>
      </w:r>
      <w:r>
        <w:rPr>
          <w:rFonts w:ascii="Tahoma" w:hAnsi="Tahoma" w:cs="Tahoma"/>
          <w:sz w:val="19"/>
          <w:szCs w:val="19"/>
        </w:rPr>
        <w:t xml:space="preserve">Built a rule-based router as a verifiable baseline, output-isomorphic with the LLM function-calling router (intent + arguments), so both score against the same self-built 30-question, five-category evaluation set — 83.3% for rules, 100% for the LLM. An ablation showed the same model scores 63.3% without the system prompt: accuracy is driven mainly by tool documentation and policy prompt, not by the model itself.</w:t>
      </w:r>
    </w:p>
    <w:p>
      <w:pPr>
        <w:numPr>
          <w:ilvl w:val="0"/>
          <w:numId w:val="7"/>
        </w:num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Defensive parsing and engineering: </w:t>
      </w:r>
      <w:r>
        <w:rPr>
          <w:rFonts w:ascii="Tahoma" w:hAnsi="Tahoma" w:cs="Tahoma"/>
          <w:sz w:val="19"/>
          <w:szCs w:val="19"/>
        </w:rPr>
        <w:t xml:space="preserve">Collapsed three failure modes — no tool call, hallucinated tool name, malformed JSON arguments — into an explicit unknown rather than guessing arguments, so the system never returns a silently wrong number. A trace_id-threaded JSON Lines event stream replays any execution; FastAPI's POST /ask rejects an invalid router as 422 and maps a missing key to 503. 229 automated tests run fully offline.</w:t>
      </w:r>
    </w:p>
    <w:p>
      <w:pPr>
        <w:rPr>
          <w:sz w:val="6"/>
        </w:rPr>
      </w:pPr>
    </w:p>
    <w:p>
      <w:pPr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b/>
          <w:bCs/>
          <w:sz w:val="20"/>
          <w:szCs w:val="20"/>
        </w:rPr>
        <w:t xml:space="preserve">Value Factorisation in Multi-Agent Actor-Critic Methods (BSc dissertation)</w:t>
      </w:r>
      <w:r>
        <w:rPr>
          <w:rFonts w:ascii="Tahoma" w:hAnsi="Tahoma" w:cs="Tahoma"/>
          <w:sz w:val="20"/>
          <w:szCs w:val="20"/>
        </w:rPr>
        <w:t xml:space="preserve">  | Python · PyTorch · PyMARL · MAPPO · VDN · QMIX · CTDE · PPO · PettingZoo / MPE2</w:t>
      </w:r>
      <w:r>
        <w:rPr>
          <w:rFonts w:ascii="Tahoma" w:hAnsi="Tahoma" w:cs="Tahoma"/>
          <w:sz w:val="20"/>
          <w:szCs w:val="20"/>
        </w:rPr>
        <w:t xml:space="preserve">  github.com/leyancode/marl-value-factorisation</w:t>
      </w:r>
    </w:p>
    <w:p>
      <w:pPr>
        <w:numPr>
          <w:ilvl w:val="0"/>
          <w:numId w:val="8"/>
        </w:num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Counter-intuitive result and root cause: </w:t>
      </w:r>
      <w:r>
        <w:rPr>
          <w:rFonts w:ascii="Tahoma" w:hAnsi="Tahoma" w:cs="Tahoma"/>
          <w:sz w:val="19"/>
          <w:szCs w:val="19"/>
        </w:rPr>
        <w:t xml:space="preserve">Attached VDN additive factorisation and QMIX monotonic mixing to a MAPPO critic as a single-variable comparison (variants share runner, buffer, shared-RNN actor and all PPO hyperparameters; only the critic branch differs). The more expressive critic did not win — on sparse-reward Predator-Prey (300k steps) the simplest additive factorisation reached positive return (≈150), the monolithic critic stayed negative, and QMIX's critic loss started at 5.4×10⁴ and diverged again after 200k steps. The cause: MAPPO-QMIX inherits the value-based TD target max_a Qᵢ (greedy action) while the actor is on-policy, so the resulting td_error is not a valid advantage but a systematically optimistic quantity. The non-monotonic mixer's persistent gradient explosion is reported as a negative result.</w:t>
      </w:r>
    </w:p>
    <w:p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Publication: </w:t>
      </w:r>
      <w:r>
        <w:rPr>
          <w:rFonts w:ascii="Tahoma" w:hAnsi="Tahoma" w:cs="Tahoma"/>
          <w:sz w:val="19"/>
          <w:szCs w:val="19"/>
        </w:rPr>
        <w:t xml:space="preserve">Li, Leyan. Convolutional Neural Networks Based Medical Image Analysis. EMITI 2024.</w:t>
      </w:r>
    </w:p>
    <w:sectPr w:rsidR="000E3328" w:rsidRPr="00605C97" w:rsidSect="000E3328">
      <w:pgSz w:w="11906" w:h="16838"/>
      <w:pgMar w:top="227" w:right="284" w:bottom="227" w:left="284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2C7086" w14:textId="77777777" w:rsidR="00500278" w:rsidRDefault="00500278" w:rsidP="000E3328">
      <w:r>
        <w:separator/>
      </w:r>
    </w:p>
  </w:endnote>
  <w:endnote w:type="continuationSeparator" w:id="0">
    <w:p w14:paraId="04B494DD" w14:textId="77777777" w:rsidR="00500278" w:rsidRDefault="00500278" w:rsidP="000E33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62C1E6" w14:textId="77777777" w:rsidR="00500278" w:rsidRDefault="00500278" w:rsidP="000E3328">
      <w:r>
        <w:separator/>
      </w:r>
    </w:p>
  </w:footnote>
  <w:footnote w:type="continuationSeparator" w:id="0">
    <w:p w14:paraId="3CD1BBEF" w14:textId="77777777" w:rsidR="00500278" w:rsidRDefault="00500278" w:rsidP="000E332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35" style="width:0;height:1.5pt" o:hralign="center" o:bullet="t" o:hrstd="t" o:hr="t" fillcolor="#a0a0a0" stroked="f"/>
    </w:pict>
  </w:numPicBullet>
  <w:abstractNum w:abstractNumId="0" w15:restartNumberingAfterBreak="0">
    <w:nsid w:val="0C19522A"/>
    <w:multiLevelType w:val="multilevel"/>
    <w:tmpl w:val="BF8CE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5C632B"/>
    <w:multiLevelType w:val="multilevel"/>
    <w:tmpl w:val="79E61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4F051C"/>
    <w:multiLevelType w:val="multilevel"/>
    <w:tmpl w:val="70144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6F4D45"/>
    <w:multiLevelType w:val="multilevel"/>
    <w:tmpl w:val="2A9AC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F13F11"/>
    <w:multiLevelType w:val="multilevel"/>
    <w:tmpl w:val="5A526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CA798A"/>
    <w:multiLevelType w:val="multilevel"/>
    <w:tmpl w:val="E656F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8919F3"/>
    <w:multiLevelType w:val="multilevel"/>
    <w:tmpl w:val="8B3C2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253C81"/>
    <w:multiLevelType w:val="multilevel"/>
    <w:tmpl w:val="DDD24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9545436">
    <w:abstractNumId w:val="2"/>
  </w:num>
  <w:num w:numId="2" w16cid:durableId="1713528875">
    <w:abstractNumId w:val="6"/>
  </w:num>
  <w:num w:numId="3" w16cid:durableId="927277668">
    <w:abstractNumId w:val="1"/>
  </w:num>
  <w:num w:numId="4" w16cid:durableId="1934625943">
    <w:abstractNumId w:val="5"/>
  </w:num>
  <w:num w:numId="5" w16cid:durableId="635141830">
    <w:abstractNumId w:val="3"/>
  </w:num>
  <w:num w:numId="6" w16cid:durableId="515658977">
    <w:abstractNumId w:val="0"/>
  </w:num>
  <w:num w:numId="7" w16cid:durableId="587469709">
    <w:abstractNumId w:val="4"/>
  </w:num>
  <w:num w:numId="8" w16cid:durableId="46852185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CA4"/>
    <w:rsid w:val="000E3328"/>
    <w:rsid w:val="00131415"/>
    <w:rsid w:val="001E3674"/>
    <w:rsid w:val="001F6228"/>
    <w:rsid w:val="00241354"/>
    <w:rsid w:val="0048748D"/>
    <w:rsid w:val="00500278"/>
    <w:rsid w:val="0056314D"/>
    <w:rsid w:val="005C16C1"/>
    <w:rsid w:val="006B6CA4"/>
    <w:rsid w:val="007560F2"/>
    <w:rsid w:val="00784F5A"/>
    <w:rsid w:val="007A276C"/>
    <w:rsid w:val="00832F4A"/>
    <w:rsid w:val="00864152"/>
    <w:rsid w:val="00892A80"/>
    <w:rsid w:val="008B3424"/>
    <w:rsid w:val="008F1831"/>
    <w:rsid w:val="00931C72"/>
    <w:rsid w:val="00B613CB"/>
    <w:rsid w:val="00C9011F"/>
    <w:rsid w:val="00CB6C80"/>
    <w:rsid w:val="00E32B80"/>
    <w:rsid w:val="00FF6C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A2AB44"/>
  <w15:chartTrackingRefBased/>
  <w15:docId w15:val="{47C22508-BF74-47E0-9BA5-840E68943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E3328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B6CA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B6C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B6CA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B6CA4"/>
    <w:pPr>
      <w:keepNext/>
      <w:keepLines/>
      <w:spacing w:before="80" w:after="40"/>
      <w:outlineLvl w:val="3"/>
    </w:pPr>
    <w:rPr>
      <w:rFonts w:cstheme="majorBidi"/>
      <w:color w:val="2E74B5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B6CA4"/>
    <w:pPr>
      <w:keepNext/>
      <w:keepLines/>
      <w:spacing w:before="80" w:after="40"/>
      <w:outlineLvl w:val="4"/>
    </w:pPr>
    <w:rPr>
      <w:rFonts w:cstheme="majorBidi"/>
      <w:color w:val="2E74B5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B6CA4"/>
    <w:pPr>
      <w:keepNext/>
      <w:keepLines/>
      <w:spacing w:before="40"/>
      <w:outlineLvl w:val="5"/>
    </w:pPr>
    <w:rPr>
      <w:rFonts w:cstheme="majorBidi"/>
      <w:b/>
      <w:bCs/>
      <w:color w:val="2E74B5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B6CA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B6CA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B6CA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B6CA4"/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B6CA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B6CA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B6CA4"/>
    <w:rPr>
      <w:rFonts w:cstheme="majorBidi"/>
      <w:color w:val="2E74B5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B6CA4"/>
    <w:rPr>
      <w:rFonts w:cstheme="majorBidi"/>
      <w:color w:val="2E74B5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B6CA4"/>
    <w:rPr>
      <w:rFonts w:cstheme="majorBidi"/>
      <w:b/>
      <w:bCs/>
      <w:color w:val="2E74B5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B6CA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B6CA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B6CA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B6CA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B6C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B6CA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B6CA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B6CA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B6CA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B6CA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B6CA4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B6CA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B6CA4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6B6CA4"/>
    <w:rPr>
      <w:b/>
      <w:bCs/>
      <w:smallCaps/>
      <w:color w:val="2E74B5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E332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E332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E332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E3328"/>
    <w:rPr>
      <w:sz w:val="18"/>
      <w:szCs w:val="18"/>
    </w:rPr>
  </w:style>
  <w:style w:type="character" w:styleId="af2">
    <w:name w:val="Hyperlink"/>
    <w:basedOn w:val="a0"/>
    <w:uiPriority w:val="99"/>
    <w:unhideWhenUsed/>
    <w:rsid w:val="000E3328"/>
    <w:rPr>
      <w:color w:val="0563C1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0E33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leyancode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3073751449@qq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90" Type="http://schemas.openxmlformats.org/officeDocument/2006/relationships/hyperlink" Target="https://leyan-li.com/resume.html" TargetMode="External"/><Relationship Id="rId91" Type="http://schemas.openxmlformats.org/officeDocument/2006/relationships/hyperlink" Target="mailto:leyanpower@gmail.com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490</Words>
  <Characters>2793</Characters>
  <Application>Microsoft Office Word</Application>
  <DocSecurity>0</DocSecurity>
  <Lines>23</Lines>
  <Paragraphs>6</Paragraphs>
  <ScaleCrop>false</ScaleCrop>
  <Company/>
  <LinksUpToDate>false</LinksUpToDate>
  <CharactersWithSpaces>3277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leyan li</dc:creator>
  <cp:keywords/>
  <dc:description/>
  <cp:lastModifiedBy>leyan li</cp:lastModifiedBy>
  <cp:revision>2</cp:revision>
  <dcterms:created xsi:type="dcterms:W3CDTF">2026-08-04T12:49:00Z</dcterms:created>
  <dcterms:modified xsi:type="dcterms:W3CDTF">2026-08-04T12:49:00Z</dcterms:modified>
</cp:coreProperties>
</file>