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cs="Tahoma"/>
            <w:b/>
            <w:bCs/>
            <w:sz w:val="28"/>
            <w:szCs w:val="28"/>
          </w:rPr>
          <w:t xml:space="preserve">李乐岩</w:t>
        </w:r>
      </w:hyperlink>
    </w:p>
    <w:p>
      <w:pPr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cs="Tahoma"/>
            <w:sz w:val="19"/>
            <w:szCs w:val="19"/>
          </w:rPr>
          <w:t xml:space="preserve"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 xml:space="preserve">+86 18805506898</w:t>
      </w:r>
      <w:r>
        <w:rPr>
          <w:rFonts w:ascii="Tahoma" w:hAnsi="Tahoma" w:cs="Tahoma"/>
          <w:sz w:val="19"/>
          <w:szCs w:val="19"/>
        </w:rPr>
        <w:t xml:space="preserve"> | GitHub: </w:t>
      </w:r>
      <w:hyperlink r:id="rId8">
        <w:r>
          <w:rPr>
            <w:rFonts w:ascii="Tahoma" w:hAnsi="Tahoma" w:cs="Tahoma"/>
            <w:sz w:val="19"/>
            <w:szCs w:val="19"/>
          </w:rPr>
          <w:t xml:space="preserve">github.com/leyancode</w:t>
        </w:r>
      </w:hyperlink>
      <w:r>
        <w:rPr>
          <w:rFonts w:ascii="Tahoma" w:hAnsi="Tahoma" w:cs="Tahoma"/>
          <w:sz w:val="19"/>
          <w:szCs w:val="19"/>
        </w:rPr>
        <w:t xml:space="preserve"> | 个人主页: </w:t>
      </w:r>
      <w:hyperlink r:id="rId90">
        <w:r>
          <w:rPr>
            <w:rFonts w:ascii="Tahoma" w:hAnsi="Tahoma" w:cs="Tahoma"/>
            <w:sz w:val="19"/>
            <w:szCs w:val="19"/>
          </w:rPr>
          <w:t xml:space="preserve">leyan-li.com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爱丁堡大学 University of Edinburgh 英国 | 2025.09 – 2026.12  </w:t>
      </w:r>
      <w:r>
        <w:rPr>
          <w:rFonts w:ascii="Tahoma" w:hAnsi="Tahoma" w:cs="Tahoma"/>
          <w:b/>
          <w:bCs/>
          <w:sz w:val="19"/>
          <w:szCs w:val="19"/>
        </w:rPr>
        <w:t xml:space="preserve">高性能计算与数据科学 硕士</w:t>
      </w:r>
      <w:r>
        <w:rPr>
          <w:rFonts w:ascii="Tahoma" w:hAnsi="Tahoma" w:cs="Tahoma"/>
          <w:sz w:val="19"/>
          <w:szCs w:val="19"/>
        </w:rPr>
        <w:t xml:space="preserve">  课程与毕业论文 2026.08 完成｜可入职时间 2026.09.01｜学位证书 2026.12 获得</w:t>
      </w:r>
    </w:p>
    <w:p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利物浦大学 University of Liverpool 英国 | 2023.09 – 2025.06  </w:t>
      </w:r>
      <w:r>
        <w:rPr>
          <w:rFonts w:ascii="Tahoma" w:hAnsi="Tahoma" w:cs="Tahoma"/>
          <w:b/>
          <w:bCs/>
          <w:sz w:val="19"/>
          <w:szCs w:val="19"/>
        </w:rPr>
        <w:t xml:space="preserve">计算机科学 本科</w:t>
      </w:r>
      <w:r>
        <w:rPr>
          <w:rFonts w:ascii="Tahoma" w:hAnsi="Tahoma" w:cs="Tahoma"/>
          <w:sz w:val="19"/>
          <w:szCs w:val="19"/>
        </w:rPr>
        <w:t xml:space="preserve">，西交利物浦大学 2+2 项目，一等荣誉学位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技术能力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并行与分布式性能工程：</w:t>
      </w:r>
      <w:r>
        <w:rPr>
          <w:rFonts w:ascii="Tahoma" w:hAnsi="Tahoma" w:cs="Tahoma"/>
          <w:sz w:val="19"/>
          <w:szCs w:val="19"/>
        </w:rPr>
        <w:t xml:space="preserve">MPI、OpenMP、hybrid MPI+OpenMP、PETSc、Slurm；在英国国家超算 ARCHER2 上完成最多 32 节点 / 4,096 核的正式对照实验。理解 strong / weak scaling、parallel efficiency 与饱和点判定，以及 halo exchange、CG global reduction（allreduce）等集合通信开销与 surface-to-volume ratio 对通信暴露的影响。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性能剖析与体系结构：</w:t>
      </w:r>
      <w:r>
        <w:rPr>
          <w:rFonts w:ascii="Tahoma" w:hAnsi="Tahoma" w:cs="Tahoma"/>
          <w:sz w:val="19"/>
          <w:szCs w:val="19"/>
        </w:rPr>
        <w:t xml:space="preserve">Linaro MAP call-tree profiling；可从 NUMA / CCX / 共享 L3、memory bandwidth、线程绑定（OMP_PLACES、OMP_PROC_BIND）与负载均衡角度解释瓶颈，并把开销拆成计算、通信、同步等待三类分别归因。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深度学习与推理基础设施：</w:t>
      </w:r>
      <w:r>
        <w:rPr>
          <w:rFonts w:ascii="Tahoma" w:hAnsi="Tahoma" w:cs="Tahoma"/>
          <w:sz w:val="19"/>
          <w:szCs w:val="19"/>
        </w:rPr>
        <w:t xml:space="preserve">熟悉 PyTorch，实现过多智能体 actor-critic 训练流程并诊断过训练不收敛的根因；熟悉 LLM function calling / tool schema 设计与离线评测方法；了解 GPU 上的分布式并行策略（数据并行、张量并行）与 NCCL 集合通信模式，以及推理服务的吞吐 / 时延 / batching 取舍。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编程与工程：</w:t>
      </w:r>
      <w:r>
        <w:rPr>
          <w:rFonts w:ascii="Tahoma" w:hAnsi="Tahoma" w:cs="Tahoma"/>
          <w:sz w:val="19"/>
          <w:szCs w:val="19"/>
        </w:rPr>
        <w:t xml:space="preserve">C/C++、Python、Bash、SQL；Linux、Git、pytest、GitHub Actions CI，了解 Docker。习惯把实验做成可复现管线：参数化提交脚本 → 基于内容的日志审计 → pandas 聚合 → 图表与回归测试。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数据分析与可视化：</w:t>
      </w:r>
      <w:r>
        <w:rPr>
          <w:rFonts w:ascii="Tahoma" w:hAnsi="Tahoma" w:cs="Tahoma"/>
          <w:sz w:val="19"/>
          <w:szCs w:val="19"/>
        </w:rPr>
        <w:t xml:space="preserve">pandas、NumPy、Matplotlib；实验日志解析、指标计算、中位数与观测区间的误差表达，以及把关键数值锁进测试以防图表与结论漂移。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项目经历：ARCHER2 上 4,096 核规模的 hybrid MPI+OpenMP 布局对照实验——通信暴露与线程空转的权衡</w:t>
      </w:r>
      <w:r>
        <w:rPr>
          <w:rFonts w:ascii="Tahoma" w:hAnsi="Tahoma" w:cs="Tahoma"/>
          <w:sz w:val="20"/>
          <w:szCs w:val="20"/>
        </w:rPr>
        <w:t xml:space="preserve">  github.com/leyancode/hpc_benchmark_archer2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在英国国家超算 ARCHER2（HPE Cray EX，双路 AMD EPYC 7742、128 核/节点，Slingshot 互连）上研究一个受约束的配置问题：总核数固定时，减少 MPI rank 数、增大每 rank 的 OpenMP 线程数，能否用省下的通信与进程开销抵消线程组创建、barrier 与空转成本。负载为 2D five-point / 3D seven-point stencil + CG+GAMG，规模 5M–165M unknowns，比较四种满节点布局（128×1 / 64×2 / 32×4 / 16×8）。正式结论只使用 408 个通过内容审计的 run（264 weak-scaling + 144 fixed-size strong-scaling）。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技术栈：</w:t>
      </w:r>
      <w:r>
        <w:rPr>
          <w:rFonts w:ascii="Tahoma" w:hAnsi="Tahoma" w:cs="Tahoma"/>
          <w:sz w:val="19"/>
          <w:szCs w:val="19"/>
        </w:rPr>
        <w:t xml:space="preserve">C、PETSc、MPI、OpenMP、Slurm、Bash、Python、pandas、Matplotlib、Linaro MAP、GitHub Actions、Linux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实验设计：</w:t>
      </w:r>
      <w:r>
        <w:rPr>
          <w:rFonts w:ascii="Tahoma" w:hAnsi="Tahoma" w:cs="Tahoma"/>
          <w:sz w:val="19"/>
          <w:szCs w:val="19"/>
        </w:rPr>
        <w:t xml:space="preserve">2D/3D 按 unknown 数对齐而非按网格边长，使同一线性系统规模下可比较两种 stencil 的通信暴露；weak scaling 以 25,000 ≤ unknowns/core ≤ 100,000 的准入规则组织出 ~40k（6 点）与 ~80k（5 点）两条固定本地工作量的链，fixed-20M 则有意越过该窗口降到 ~4.9k unknowns/core 以观察布局何时饱和。计时只读 PETSc RepeatedSolves stage（1 次 warm-up 建 GAMG 层次、19 次复用 preconditioner），不把 setup 与稳态求解混为一谈；每个正式配置 3 次重复，取中位数、误差线为观测 min–max。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Weak-scaling 结论：</w:t>
      </w:r>
      <w:r>
        <w:rPr>
          <w:rFonts w:ascii="Tahoma" w:hAnsi="Tahoma" w:cs="Tahoma"/>
          <w:sz w:val="19"/>
          <w:szCs w:val="19"/>
        </w:rPr>
        <w:t xml:space="preserve">2D 上 64×2 在 11 个 size/node 点中赢 8 个，165M / 32 节点达 794.8M equations/s，比 flat-MPI 128×1 高 13.1%；3D 上 32×4 赢 6 个，最大吞吐增益 33.2%（41M / 4 节点，对应 24.9% 时间节省）。结论是最佳布局随维度与规模改变，不存在单一「最优线程数」；由于 GAMG 迭代数会随分区小幅变化，同时比较吞吐量与 seconds per KSP iteration。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Strong-scaling 结论：</w:t>
      </w:r>
      <w:r>
        <w:rPr>
          <w:rFonts w:ascii="Tahoma" w:hAnsi="Tahoma" w:cs="Tahoma"/>
          <w:sz w:val="19"/>
          <w:szCs w:val="19"/>
        </w:rPr>
        <w:t xml:space="preserve">固定 20M、1→32 节点：2D 最快为 64×2，0.0277 s/solve、29.83× 加速、93.2% 累积效率；3D 最快为 16×8，0.0681 s/solve、14.24× 加速、比 flat MPI 快 3.81×。各布局饱和点不同（128×1 在 8 节点后变慢，64×2 与 32×4 在 16 节点后变慢，16×8 到 32 节点仍在下降）——即每核工作量下降到一定程度后，更粗的进程粒度才开始有回报；这与固定 batch 继续扩机器时的收益递减是同一类问题。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Profiling 定位机理：</w:t>
      </w:r>
      <w:r>
        <w:rPr>
          <w:rFonts w:ascii="Tahoma" w:hAnsi="Tahoma" w:cs="Tahoma"/>
          <w:sz w:val="19"/>
          <w:szCs w:val="19"/>
        </w:rPr>
        <w:t xml:space="preserve">Linaro MAP call tree 显示 threads/rank 上升时，solve window 内 MPI 占比从 46.7%（64×2）降到 6.2%（16×8），而 OpenMP runtime 等待从 48.3% 升到 76.5%——布局排序即「通信暴露」与「线程空转」两条曲线的交点；同时排除 threaded BLAS 的解释（LibSci 最多只占 solve-window core-time 的 2.1%）。因 MAP 插桩会不均匀扰动运行时间，只读布局之间的占比排序，绝不与未插桩的 scaling timing 混用。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主动作废不可信结果：</w:t>
      </w:r>
      <w:r>
        <w:rPr>
          <w:rFonts w:ascii="Tahoma" w:hAnsi="Tahoma" w:cs="Tahoma"/>
          <w:sz w:val="19"/>
          <w:szCs w:val="19"/>
        </w:rPr>
        <w:t xml:space="preserve">审计发现 launcher 时代的日志有 302 / 303 份的实际 MPI process 数与文件名不符（一份文件名请求 2048 ranks，PETSc header 只报 32），据此废弃该阶段全部性能曲线，并把「从日志内容而非文件名解析 process / thread 数」写成分析入口的硬校验；另发现 default GMRES + block Jacobi/ICC 会随 rank 数改变 preconditioner、一次 --ksp_rtol override 被 PETSc 静默忽略，因此禁止用该批数据做跨 rank 布局排名。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可审计聚合管线：</w:t>
      </w:r>
      <w:r>
        <w:rPr>
          <w:rFonts w:ascii="Tahoma" w:hAnsi="Tahoma" w:cs="Tahoma"/>
          <w:sz w:val="19"/>
          <w:szCs w:val="19"/>
        </w:rPr>
        <w:t xml:space="preserve">每份日志须通过 PETSc 自报 architecture、实际 ranks × threads、20 次 solve 全部收敛、timed stage 恰好 19 个 KSPSolve 且无 PCSetUp、链接库与 solver signature 共六项检查才进入聚合；未通过的标为 superseded，只解释方法如何改进，永不混进中位数。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工程化与可发布性：</w:t>
      </w:r>
      <w:r>
        <w:rPr>
          <w:rFonts w:ascii="Tahoma" w:hAnsi="Tahoma" w:cs="Tahoma"/>
          <w:sz w:val="19"/>
          <w:szCs w:val="19"/>
        </w:rPr>
        <w:t xml:space="preserve">Slurm 提交脚本参数化生成全部正式配置，分析侧 16 个 Python 脚本配 pytest 断言公开矩阵行数、头条数值、README 图片与跨维度换算，GitHub Actions 跑公开数据测试并用 fake Slurm 执行提交脚本；对外发布的 5 份代表日志经脚本脱敏（去用户、allocation、node name、job ID 与个人路径），并附私有原件与公开副本的 SHA-256 manifest。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面向该 benchmark 数据的 Agent 式性能分析系统</w:t>
      </w:r>
      <w:r>
        <w:rPr>
          <w:rFonts w:ascii="Tahoma" w:hAnsi="Tahoma" w:cs="Tahoma"/>
          <w:sz w:val="20"/>
          <w:szCs w:val="20"/>
        </w:rPr>
        <w:t xml:space="preserve">  github.com/leyancode/hpc-benchmark-agent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把上一项目的 PETSc benchmark 数据结构化为 SQLite，将性能分析任务封装为确定性工具，以中文规则 router 作为可验证 baseline，再接入 LLM function calling router，用自建 30 问五类中文评测集给两者打同一份分——规则 83.3%、LLM 100%。命题是：让 LLM 只负责「选哪个工具、参数是什么」，数值一律由确定性代码算，从而让 Agent 的正确性变成可评测量。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技术栈：</w:t>
      </w:r>
      <w:r>
        <w:rPr>
          <w:rFonts w:ascii="Tahoma" w:hAnsi="Tahoma" w:cs="Tahoma"/>
          <w:sz w:val="19"/>
          <w:szCs w:val="19"/>
        </w:rPr>
        <w:t xml:space="preserve">Python、SQLite、pytest、FastAPI、OpenAI SDK（function calling）、Pydantic、Git、Linux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分层架构与同构契约：</w:t>
      </w:r>
      <w:r>
        <w:rPr>
          <w:rFonts w:ascii="Tahoma" w:hAnsi="Tahoma" w:cs="Tahoma"/>
          <w:sz w:val="19"/>
          <w:szCs w:val="19"/>
        </w:rPr>
        <w:t xml:space="preserve">数据导入 / 指标 / 工具 / 检索 / 路由 / 可观测六层，加 CLI 与 FastAPI 两个平级且互不依赖的进程边界；规则 router 与 LLM tool call 输出严格同构（intent + 参数），因此可共用同一套评测集、切换只需改一行 dispatch。各层合同由 229 项自动化测试钉死，全量离线可跑、不需要 API key（LLM 部分走 FakeLLM 依赖注入）。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LLM function calling、防御式解析与评测：</w:t>
      </w:r>
      <w:r>
        <w:rPr>
          <w:rFonts w:ascii="Tahoma" w:hAnsi="Tahoma" w:cs="Tahoma"/>
          <w:sz w:val="19"/>
          <w:szCs w:val="19"/>
        </w:rPr>
        <w:t xml:space="preserve">tool schema 的 description 写明工具边界，unknowns 刻意可选——省略参数即「追问」、不调用工具即「拒答」；未调用工具、幻觉工具名、坏 JSON 三类异常统一收敛为显式 unknown，绝不猜参数以避免「静默算错」。自建 30 问五类中文评测集（期望值是 tool call 而非答案文本）给两个 router 打同一份分，消融显示同一模型去掉 system prompt 只有 63.3%——准确率主要由工具说明书与策略 prompt 决定。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工程化外围：</w:t>
      </w:r>
      <w:r>
        <w:rPr>
          <w:rFonts w:ascii="Tahoma" w:hAnsi="Tahoma" w:cs="Tahoma"/>
          <w:sz w:val="19"/>
          <w:szCs w:val="19"/>
        </w:rPr>
        <w:t xml:space="preserve">trace_id 贯穿的 JSON Lines 事件流可完整回放一次执行，脱敏收敛在单一出口点并由扫描测试强制；FastAPI 暴露 POST /ask，非法 router 由 Pydantic 拦为 422、缺 key 映射 503 而非 500，与 CLI 的退出码 2 各自独立；最小 RAG 用 IDF 加权词法检索（纯标准库、刻意不用向量库），检索不到即返回空、不注入，未开启时 messages 与评测时逐字节一致并由测试锁死，以保结论可比。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多智能体 Actor-Critic 方法中的价值函数分解研究（本科毕业设计）</w:t>
      </w:r>
      <w:r>
        <w:rPr>
          <w:rFonts w:ascii="Tahoma" w:hAnsi="Tahoma" w:cs="Tahoma"/>
          <w:sz w:val="20"/>
          <w:szCs w:val="20"/>
        </w:rPr>
        <w:t xml:space="preserve">  github.com/leyancode/marl-value-factorisation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 MAPPO 的 critic 上分别接入 VDN 加性分解与 QMIX 单调 mixing 做单变量对照：三个变体共用同一套 runner / buffer / shared RNN actor 与全部 PPO 超参，差异只在 critic 分支。结论与直觉相反——表达能力更强的 critic 没有赢：稀疏奖励的 Predator-Prey（300k steps）上，最简单的加性分解唯一学到正回报（≈150），单体 critic 始终为负（−300 → −30），单调 mixing 的 critic loss 起手即 5.4×10⁴、200k 步后二次发散。技术栈：Python、PyTorch、PyMARL、MAPPO、VDN、QMIX、CTDE、PPO、PettingZoo / MPE2。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训练不收敛的根因诊断：</w:t>
      </w:r>
      <w:r>
        <w:rPr>
          <w:rFonts w:ascii="Tahoma" w:hAnsi="Tahoma" w:cs="Tahoma"/>
          <w:sz w:val="19"/>
          <w:szCs w:val="19"/>
        </w:rPr>
        <w:t xml:space="preserve">MAPPO-QMIX 的 TD 目标沿用 value-based QMIX 的 max_a Qᵢ（贪婪动作），而 actor 是 on-policy，相减得到的 td_error 并非合法 advantage 而是系统性偏乐观的量，可解释「回报冲过理论最优值后崩塌」；另定位 hypernet 经 softplus 生成的 mixing 权重（softplus(0) ≈ 0.69）对局部 Q 的梯度做乘性放大，是 critic loss 起手即 5×10⁴ 的直接原因。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负结果与工程化：</w:t>
      </w:r>
      <w:r>
        <w:rPr>
          <w:rFonts w:ascii="Tahoma" w:hAnsi="Tahoma" w:cs="Tahoma"/>
          <w:sz w:val="19"/>
          <w:szCs w:val="19"/>
        </w:rPr>
        <w:t xml:space="preserve">去掉单调约束的 non-monotonic mixer 持续梯度爆炸、未在预算内收敛，如实写进论文；并指出三个 learner 实际都只产出一个共享标量 advantage，收益来自表示与梯度路径而非真正的 per-agent credit assignment。2026 年整理为可复现仓库：修正 Predator-Prey 合作边界、用 uv.lock 锁 CPU 版 PyTorch 使实验无需 GPU、补 pytest 并接入 GitHub Actions CI。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论文发表：</w:t>
      </w:r>
      <w:r>
        <w:rPr>
          <w:rFonts w:ascii="Tahoma" w:hAnsi="Tahoma" w:cs="Tahoma"/>
          <w:sz w:val="19"/>
          <w:szCs w:val="19"/>
        </w:rPr>
        <w:t xml:space="preserve">Li, Leyan. Convolutional Neural Networks Based Medical Image Analysis. International Conference on Engineering Management, Information Technology and Intelligence, EMITI 2024.</w:t>
      </w:r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eyanco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