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keepLines w:val="0"/>
        <w:widowControl/>
        <w:spacing w:before="0" w:after="20" w:line="240" w:lineRule="auto"/>
        <w:jc w:val="center"/>
      </w:pPr>
      <w:r>
        <w:rPr>
          <w:rFonts w:ascii="Tahoma" w:hAnsi="Tahoma" w:eastAsia="Microsoft YaHei" w:cs="Tahoma"/>
          <w:b/>
          <w:color w:val="000000"/>
          <w:sz w:val="34"/>
        </w:rPr>
        <w:t>李乐岩</w:t>
      </w:r>
    </w:p>
    <w:p>
      <w:pPr>
        <w:keepNext/>
        <w:keepLines w:val="0"/>
        <w:widowControl/>
        <w:spacing w:before="0" w:after="40" w:line="240" w:lineRule="auto"/>
        <w:jc w:val="center"/>
      </w:pPr>
      <w:hyperlink r:id="rId7">
        <w:r>
          <w:rPr>
            <w:rFonts w:ascii="Tahoma" w:hAnsi="Tahoma" w:eastAsia="Microsoft YaHei"/>
            <w:color w:val="0563C1"/>
            <w:u w:val="single"/>
            <w:sz w:val="21"/>
            <w:szCs w:val="21"/>
          </w:rPr>
          <w:t>3073751449@qq.com</w:t>
        </w:r>
      </w:hyperlink>
      <w:r>
        <w:rPr>
          <w:rFonts w:ascii="Tahoma" w:hAnsi="Tahoma" w:eastAsia="Microsoft YaHei" w:cs="Tahoma"/>
          <w:b w:val="0"/>
          <w:color w:val="000000"/>
          <w:sz w:val="20"/>
        </w:rPr>
        <w:t xml:space="preserve">  |  +86 18805506898  |  GitHub: </w:t>
      </w:r>
      <w:hyperlink r:id="rId8">
        <w:r>
          <w:rPr>
            <w:rFonts w:ascii="Tahoma" w:hAnsi="Tahoma" w:eastAsia="Microsoft YaHei"/>
            <w:color w:val="0563C1"/>
            <w:u w:val="single"/>
            <w:sz w:val="21"/>
            <w:szCs w:val="21"/>
          </w:rPr>
          <w:t>github.com/leyancode</w:t>
        </w:r>
      </w:hyperlink>
    </w:p>
    <w:p>
      <w:pPr>
        <w:keepNext/>
        <w:keepLines w:val="0"/>
        <w:widowControl/>
        <w:spacing w:before="0" w:after="0" w:line="240" w:lineRule="auto"/>
      </w:pPr>
      <w:r>
        <w:rPr>
          <w:rFonts w:ascii="Tahoma" w:hAnsi="Tahoma" w:eastAsia="Microsoft YaHei" w:cs="Tahoma"/>
          <w:b/>
          <w:color w:val="000000"/>
          <w:sz w:val="21"/>
        </w:rPr>
        <w:t>爱丁堡大学 University of Edinburgh</w:t>
      </w:r>
      <w:r>
        <w:rPr>
          <w:rFonts w:ascii="Tahoma" w:hAnsi="Tahoma" w:eastAsia="Microsoft YaHei" w:cs="Tahoma"/>
          <w:b w:val="0"/>
          <w:color w:val="000000"/>
          <w:sz w:val="20"/>
        </w:rPr>
        <w:t xml:space="preserve">  英国  |  2025.09 - 2026.12</w:t>
      </w:r>
    </w:p>
    <w:p>
      <w:pPr>
        <w:keepNext/>
        <w:keepLines w:val="0"/>
        <w:widowControl/>
        <w:spacing w:before="0" w:after="0" w:line="240" w:lineRule="auto"/>
      </w:pPr>
      <w:r>
        <w:rPr>
          <w:rFonts w:ascii="Tahoma" w:hAnsi="Tahoma" w:eastAsia="Microsoft YaHei" w:cs="Tahoma"/>
          <w:b w:val="0"/>
          <w:color w:val="000000"/>
          <w:sz w:val="20"/>
        </w:rPr>
        <w:t>高性能计算与数据科学  硕士</w:t>
      </w:r>
    </w:p>
    <w:p>
      <w:pPr>
        <w:keepNext/>
        <w:keepLines w:val="0"/>
        <w:widowControl/>
        <w:spacing w:before="0" w:after="0" w:line="240" w:lineRule="auto"/>
      </w:pPr>
      <w:r>
        <w:rPr>
          <w:rFonts w:ascii="Tahoma" w:hAnsi="Tahoma" w:eastAsia="Microsoft YaHei" w:cs="Tahoma"/>
          <w:b w:val="0"/>
          <w:color w:val="000000"/>
          <w:sz w:val="20"/>
        </w:rPr>
        <w:t xml:space="preserve">课程与毕业论文 2026.08 完成  |  </w:t>
      </w:r>
      <w:r>
        <w:rPr>
          <w:rFonts w:ascii="Tahoma" w:hAnsi="Tahoma" w:eastAsia="Microsoft YaHei" w:cs="Tahoma"/>
          <w:b/>
          <w:color w:val="000000"/>
          <w:sz w:val="20"/>
        </w:rPr>
        <w:t>可入职时间 2026.09.01</w:t>
      </w:r>
      <w:r>
        <w:rPr>
          <w:rFonts w:ascii="Tahoma" w:hAnsi="Tahoma" w:eastAsia="Microsoft YaHei" w:cs="Tahoma"/>
          <w:b w:val="0"/>
          <w:color w:val="000000"/>
          <w:sz w:val="20"/>
        </w:rPr>
        <w:t xml:space="preserve">  |  学位证书 2026.12 获得</w:t>
      </w:r>
    </w:p>
    <w:p>
      <w:pPr>
        <w:keepNext/>
        <w:keepLines w:val="0"/>
        <w:widowControl/>
        <w:spacing w:before="0" w:after="0" w:line="240" w:lineRule="auto"/>
      </w:pPr>
      <w:r>
        <w:rPr>
          <w:rFonts w:ascii="Tahoma" w:hAnsi="Tahoma" w:eastAsia="Microsoft YaHei" w:cs="Tahoma"/>
          <w:b/>
          <w:color w:val="000000"/>
          <w:sz w:val="21"/>
        </w:rPr>
        <w:t>利物浦大学 University of Liverpool</w:t>
      </w:r>
      <w:r>
        <w:rPr>
          <w:rFonts w:ascii="Tahoma" w:hAnsi="Tahoma" w:eastAsia="Microsoft YaHei" w:cs="Tahoma"/>
          <w:b w:val="0"/>
          <w:color w:val="000000"/>
          <w:sz w:val="20"/>
        </w:rPr>
        <w:t xml:space="preserve">  英国  |  2023.09 - 2025.06</w:t>
      </w:r>
    </w:p>
    <w:p>
      <w:pPr>
        <w:keepNext/>
        <w:keepLines w:val="0"/>
        <w:widowControl/>
        <w:spacing w:before="0" w:after="80" w:line="240" w:lineRule="auto"/>
        <w:pBdr>
          <w:bottom w:val="single" w:sz="8" w:space="2" w:color="9A9A9A"/>
        </w:pBdr>
      </w:pPr>
      <w:r>
        <w:rPr>
          <w:rFonts w:ascii="Tahoma" w:hAnsi="Tahoma" w:eastAsia="Microsoft YaHei" w:cs="Tahoma"/>
          <w:b w:val="0"/>
          <w:color w:val="000000"/>
          <w:sz w:val="20"/>
        </w:rPr>
        <w:t>计算机科学  本科，西交利物浦大学 2+2 项目，一等荣誉学位</w:t>
      </w:r>
    </w:p>
    <w:p>
      <w:pPr>
        <w:keepNext/>
        <w:keepLines w:val="0"/>
        <w:widowControl/>
        <w:spacing w:before="60" w:after="20" w:line="240" w:lineRule="auto"/>
      </w:pPr>
      <w:r>
        <w:rPr>
          <w:rFonts w:ascii="Tahoma" w:hAnsi="Tahoma" w:eastAsia="Microsoft YaHei" w:cs="Tahoma"/>
          <w:b/>
          <w:color w:val="000000"/>
          <w:sz w:val="24"/>
        </w:rPr>
        <w:t>项目经历</w:t>
      </w:r>
    </w:p>
    <w:p>
      <w:pPr>
        <w:keepNext/>
        <w:keepLines w:val="0"/>
        <w:widowControl/>
        <w:spacing w:before="0" w:after="0" w:line="240" w:lineRule="auto"/>
      </w:pPr>
      <w:r>
        <w:rPr>
          <w:rFonts w:ascii="Tahoma" w:hAnsi="Tahoma" w:eastAsia="Microsoft YaHei" w:cs="Tahoma"/>
          <w:b/>
          <w:color w:val="000000"/>
          <w:sz w:val="21"/>
        </w:rPr>
        <w:t>PETSc MPI+OpenMP Scaling on ARCHER2（GitHub 开源、可复现）</w:t>
      </w:r>
      <w:r>
        <w:rPr>
          <w:rFonts w:ascii="Tahoma" w:hAnsi="Tahoma" w:eastAsia="Microsoft YaHei" w:cs="Tahoma"/>
          <w:b w:val="0"/>
          <w:color w:val="000000"/>
          <w:sz w:val="20"/>
        </w:rPr>
        <w:t xml:space="preserve">  |  </w:t>
      </w:r>
      <w:hyperlink r:id="rId9">
        <w:r>
          <w:rPr>
            <w:rFonts w:ascii="Tahoma" w:hAnsi="Tahoma" w:eastAsia="Microsoft YaHei"/>
            <w:color w:val="0563C1"/>
            <w:u w:val="single"/>
            <w:sz w:val="21"/>
            <w:szCs w:val="21"/>
            <w:b/>
          </w:rPr>
          <w:t>GitHub</w:t>
        </w:r>
      </w:hyperlink>
    </w:p>
    <w:p>
      <w:pPr>
        <w:keepNext w:val="0"/>
        <w:keepLines/>
        <w:widowControl/>
        <w:spacing w:before="0" w:after="20" w:line="240" w:lineRule="auto"/>
      </w:pPr>
      <w:r>
        <w:rPr>
          <w:rFonts w:ascii="Tahoma" w:hAnsi="Tahoma" w:eastAsia="Microsoft YaHei" w:cs="Tahoma"/>
          <w:b/>
          <w:color w:val="000000"/>
          <w:sz w:val="20"/>
        </w:rPr>
        <w:t>项目概述：</w:t>
      </w:r>
      <w:r>
        <w:rPr>
          <w:rFonts w:ascii="Tahoma" w:hAnsi="Tahoma" w:eastAsia="Microsoft YaHei" w:cs="Tahoma"/>
          <w:b w:val="0"/>
          <w:color w:val="000000"/>
          <w:sz w:val="20"/>
        </w:rPr>
        <w:t>在英国国家超级计算服务 ARCHER2（HPE Cray EX，双路 AMD EPYC 7742，128 物理核/节点）上设计并执行 2D/3D Laplace 型问题的 MPI+OpenMP 配置实验；正式数据覆盖 5M-165M unknowns、1-32 节点（最多 4096 核）和四种满节点布局。</w:t>
      </w:r>
    </w:p>
    <w:p>
      <w:pPr>
        <w:keepNext w:val="0"/>
        <w:keepLines/>
        <w:widowControl/>
        <w:spacing w:before="0" w:after="20" w:line="240" w:lineRule="auto"/>
      </w:pPr>
      <w:r>
        <w:rPr>
          <w:rFonts w:ascii="Tahoma" w:hAnsi="Tahoma" w:eastAsia="Microsoft YaHei" w:cs="Tahoma"/>
          <w:b/>
          <w:color w:val="000000"/>
          <w:sz w:val="20"/>
        </w:rPr>
        <w:t>技术栈：</w:t>
      </w:r>
      <w:r>
        <w:rPr>
          <w:rFonts w:ascii="Tahoma" w:hAnsi="Tahoma" w:eastAsia="Microsoft YaHei" w:cs="Tahoma"/>
          <w:b w:val="0"/>
          <w:color w:val="000000"/>
          <w:sz w:val="20"/>
        </w:rPr>
        <w:t>C、PETSc、MPI、OpenMP、Slurm、Bash、Python、pandas、matplotlib、Linaro MAP、GitHub Actions</w:t>
      </w:r>
    </w:p>
    <w:p>
      <w:pPr>
        <w:keepNext w:val="0"/>
        <w:keepLines/>
        <w:widowControl/>
        <w:numPr>
          <w:ilvl w:val="0"/>
          <w:numId w:val="7"/>
        </w:numPr>
        <w:spacing w:before="0" w:after="26" w:line="240" w:lineRule="auto"/>
        <w:ind w:left="386" w:hanging="159"/>
      </w:pPr>
      <w:r>
        <w:rPr>
          <w:rFonts w:ascii="Tahoma" w:hAnsi="Tahoma" w:eastAsia="Microsoft YaHei" w:cs="Tahoma"/>
          <w:b w:val="0"/>
          <w:color w:val="000000"/>
          <w:sz w:val="20"/>
        </w:rPr>
        <w:t>扩展 PETSc 2D/3D benchmark drivers，采用 CG+GAMG；每次运行先以 warm-up 建立 multigrid hierarchy，再在独立 RepeatedSolves stage 中计时 19 次复用 preconditioner 的 solve，避免把 setup 与 steady-state timing 混在一起。</w:t>
      </w:r>
    </w:p>
    <w:p>
      <w:pPr>
        <w:keepNext w:val="0"/>
        <w:keepLines/>
        <w:widowControl/>
        <w:numPr>
          <w:ilvl w:val="0"/>
          <w:numId w:val="7"/>
        </w:numPr>
        <w:spacing w:before="0" w:after="26" w:line="240" w:lineRule="auto"/>
        <w:ind w:left="386" w:hanging="159"/>
      </w:pPr>
      <w:r>
        <w:rPr>
          <w:rFonts w:ascii="Tahoma" w:hAnsi="Tahoma" w:eastAsia="Microsoft YaHei" w:cs="Tahoma"/>
          <w:b w:val="0"/>
          <w:color w:val="000000"/>
          <w:sz w:val="20"/>
        </w:rPr>
        <w:t>用 Slurm/Bash 自动生成并轮换 128x1、64x2、32x4、16x8 四种 ranks x threads 布局；每个节点固定使用 128 个物理核，每个正式配置运行三次，汇总中位数并保留 observed min-max。</w:t>
      </w:r>
    </w:p>
    <w:p>
      <w:pPr>
        <w:keepNext w:val="0"/>
        <w:keepLines/>
        <w:widowControl/>
        <w:numPr>
          <w:ilvl w:val="0"/>
          <w:numId w:val="7"/>
        </w:numPr>
        <w:spacing w:before="0" w:after="26" w:line="240" w:lineRule="auto"/>
        <w:ind w:left="386" w:hanging="159"/>
      </w:pPr>
      <w:r>
        <w:rPr>
          <w:rFonts w:ascii="Tahoma" w:hAnsi="Tahoma" w:eastAsia="Microsoft YaHei" w:cs="Tahoma"/>
          <w:b w:val="0"/>
          <w:color w:val="000000"/>
          <w:sz w:val="20"/>
        </w:rPr>
        <w:t>建立内容审计与 pandas 分析管线，从日志核对实际 process/thread 数、PETSc build、收敛、timed-stage event count、preconditioner reuse 和链接库；复查旧实验时发现 302/303 份日志的实际进程数与文件名不符，因此撤回整组 launcher-era 性能曲线并重新采集。</w:t>
      </w:r>
    </w:p>
    <w:p>
      <w:pPr>
        <w:keepNext w:val="0"/>
        <w:keepLines/>
        <w:widowControl/>
        <w:numPr>
          <w:ilvl w:val="0"/>
          <w:numId w:val="7"/>
        </w:numPr>
        <w:spacing w:before="0" w:after="26" w:line="240" w:lineRule="auto"/>
        <w:ind w:left="386" w:hanging="159"/>
      </w:pPr>
      <w:r>
        <w:rPr>
          <w:rFonts w:ascii="Tahoma" w:hAnsi="Tahoma" w:eastAsia="Microsoft YaHei" w:cs="Tahoma"/>
          <w:b w:val="0"/>
          <w:color w:val="000000"/>
          <w:sz w:val="20"/>
        </w:rPr>
        <w:t>完成 264 个 weak-scaling runs 与 144 个 fixed-20M strong-scaling runs，共 408 个通过审计的正式 runs；公开仓库保留分析代码、派生 CSV、CI、图表和 5 份脱敏代表日志。</w:t>
      </w:r>
    </w:p>
    <w:p>
      <w:pPr>
        <w:keepNext w:val="0"/>
        <w:keepLines/>
        <w:widowControl/>
        <w:numPr>
          <w:ilvl w:val="0"/>
          <w:numId w:val="7"/>
        </w:numPr>
        <w:spacing w:before="0" w:after="26" w:line="240" w:lineRule="auto"/>
        <w:ind w:left="386" w:hanging="159"/>
      </w:pPr>
      <w:r>
        <w:rPr>
          <w:rFonts w:ascii="Tahoma" w:hAnsi="Tahoma" w:eastAsia="Microsoft YaHei" w:cs="Tahoma"/>
          <w:b w:val="0"/>
          <w:color w:val="000000"/>
          <w:sz w:val="20"/>
        </w:rPr>
        <w:t>2D weak scaling 中 64x2 在 11 个 size/node 点赢得 8 个；165M/32 节点达到 794.8M equations/s，比同一 OpenMP-enabled build 的 128x1 基线高 13.1%。3D 的最大 throughput gain 为 33.2%（41M/4 节点）。</w:t>
      </w:r>
    </w:p>
    <w:p>
      <w:pPr>
        <w:keepNext w:val="0"/>
        <w:keepLines/>
        <w:widowControl/>
        <w:numPr>
          <w:ilvl w:val="0"/>
          <w:numId w:val="7"/>
        </w:numPr>
        <w:spacing w:before="0" w:after="26" w:line="240" w:lineRule="auto"/>
        <w:ind w:left="386" w:hanging="159"/>
      </w:pPr>
      <w:r>
        <w:rPr>
          <w:rFonts w:ascii="Tahoma" w:hAnsi="Tahoma" w:eastAsia="Microsoft YaHei" w:cs="Tahoma"/>
          <w:b w:val="0"/>
          <w:color w:val="000000"/>
          <w:sz w:val="20"/>
        </w:rPr>
        <w:t>fixed-20M strong scaling 在 32 节点得到 2D 29.83x speedup（0.0277 s/solve，93.2% cumulative efficiency）和 3D 14.24x speedup（0.0681 s/solve，44.5%）；3D 的 128x1、64x2/32x4 分别在 8、16 节点后转慢，16x8 到 32 节点仍未回升。</w:t>
      </w:r>
    </w:p>
    <w:p>
      <w:pPr>
        <w:keepNext w:val="0"/>
        <w:keepLines/>
        <w:widowControl/>
        <w:numPr>
          <w:ilvl w:val="0"/>
          <w:numId w:val="7"/>
        </w:numPr>
        <w:spacing w:before="0" w:after="26" w:line="240" w:lineRule="auto"/>
        <w:ind w:left="386" w:hanging="159"/>
      </w:pPr>
      <w:r>
        <w:rPr>
          <w:rFonts w:ascii="Tahoma" w:hAnsi="Tahoma" w:eastAsia="Microsoft YaHei" w:cs="Tahoma"/>
          <w:b w:val="0"/>
          <w:color w:val="000000"/>
          <w:sz w:val="20"/>
        </w:rPr>
        <w:t>Linaro MAP 的 8 节点 instrumented runs 显示，从 64x2 到 16x8，MPI exposure 由 46.7% 降至 6.2%，OpenMP waiting 由 48.3% 升至 76.5%；只用这些占比解释布局排序，不把插桩时间与非插桩 scaling timing 混用。</w:t>
      </w:r>
    </w:p>
    <w:p>
      <w:pPr>
        <w:keepNext w:val="0"/>
        <w:keepLines w:val="0"/>
        <w:widowControl/>
        <w:spacing w:before="0" w:after="0" w:line="240" w:lineRule="auto"/>
      </w:pPr>
      <w:r>
        <w:br w:type="page"/>
      </w:r>
    </w:p>
    <w:p>
      <w:pPr>
        <w:keepNext/>
        <w:keepLines w:val="0"/>
        <w:widowControl/>
        <w:spacing w:before="0" w:after="20" w:line="240" w:lineRule="auto"/>
      </w:pPr>
      <w:r>
        <w:rPr>
          <w:rFonts w:ascii="Tahoma" w:hAnsi="Tahoma" w:eastAsia="Microsoft YaHei" w:cs="Tahoma"/>
          <w:b/>
          <w:color w:val="000000"/>
          <w:sz w:val="21"/>
        </w:rPr>
        <w:t>面向 HPC Benchmark 的 Agent 式性能分析系统（GitHub 开源、可复现）</w:t>
      </w:r>
      <w:r>
        <w:rPr>
          <w:rFonts w:ascii="Tahoma" w:hAnsi="Tahoma" w:eastAsia="Microsoft YaHei" w:cs="Tahoma"/>
          <w:b w:val="0"/>
          <w:color w:val="000000"/>
          <w:sz w:val="20"/>
        </w:rPr>
        <w:t xml:space="preserve">  |  </w:t>
      </w:r>
      <w:hyperlink r:id="rId10">
        <w:r>
          <w:rPr>
            <w:rFonts w:ascii="Tahoma" w:hAnsi="Tahoma" w:eastAsia="Microsoft YaHei"/>
            <w:color w:val="0563C1"/>
            <w:u w:val="single"/>
            <w:sz w:val="21"/>
            <w:szCs w:val="21"/>
            <w:b/>
          </w:rPr>
          <w:t>GitHub</w:t>
        </w:r>
      </w:hyperlink>
    </w:p>
    <w:p>
      <w:pPr>
        <w:keepNext w:val="0"/>
        <w:keepLines/>
        <w:widowControl/>
        <w:spacing w:before="0" w:after="20" w:line="240" w:lineRule="auto"/>
      </w:pPr>
      <w:r>
        <w:rPr>
          <w:rFonts w:ascii="Tahoma" w:hAnsi="Tahoma" w:eastAsia="Microsoft YaHei" w:cs="Tahoma"/>
          <w:b/>
          <w:color w:val="000000"/>
          <w:sz w:val="20"/>
        </w:rPr>
        <w:t>项目概述：</w:t>
      </w:r>
      <w:r>
        <w:rPr>
          <w:rFonts w:ascii="Tahoma" w:hAnsi="Tahoma" w:eastAsia="Microsoft YaHei" w:cs="Tahoma"/>
          <w:b w:val="0"/>
          <w:color w:val="000000"/>
          <w:sz w:val="20"/>
        </w:rPr>
        <w:t>将真实 benchmark 数据结构化为 SQLite，把指标查询封装为确定性工具，并以规则 router 建立可验证 baseline；在同一契约上接入 LLM function calling、FastAPI 和可观测层。</w:t>
      </w:r>
    </w:p>
    <w:p>
      <w:pPr>
        <w:keepNext w:val="0"/>
        <w:keepLines/>
        <w:widowControl/>
        <w:spacing w:before="0" w:after="20" w:line="240" w:lineRule="auto"/>
      </w:pPr>
      <w:r>
        <w:rPr>
          <w:rFonts w:ascii="Tahoma" w:hAnsi="Tahoma" w:eastAsia="Microsoft YaHei" w:cs="Tahoma"/>
          <w:b/>
          <w:color w:val="000000"/>
          <w:sz w:val="20"/>
        </w:rPr>
        <w:t>技术栈：</w:t>
      </w:r>
      <w:r>
        <w:rPr>
          <w:rFonts w:ascii="Tahoma" w:hAnsi="Tahoma" w:eastAsia="Microsoft YaHei" w:cs="Tahoma"/>
          <w:b w:val="0"/>
          <w:color w:val="000000"/>
          <w:sz w:val="20"/>
        </w:rPr>
        <w:t>Python、SQLite、pytest、FastAPI、OpenAI SDK、JSON Lines、PETSc、MPI、OpenMP、Slurm</w:t>
      </w:r>
    </w:p>
    <w:p>
      <w:pPr>
        <w:keepNext w:val="0"/>
        <w:keepLines/>
        <w:widowControl/>
        <w:numPr>
          <w:ilvl w:val="0"/>
          <w:numId w:val="7"/>
        </w:numPr>
        <w:spacing w:before="0" w:after="28" w:line="240" w:lineRule="auto"/>
        <w:ind w:left="386" w:hanging="159"/>
      </w:pPr>
      <w:r>
        <w:rPr>
          <w:rFonts w:ascii="Tahoma" w:hAnsi="Tahoma" w:eastAsia="Microsoft YaHei" w:cs="Tahoma"/>
          <w:b w:val="0"/>
          <w:color w:val="000000"/>
          <w:sz w:val="20"/>
        </w:rPr>
        <w:t>按数据导入、指标、工具、检索、路由和可观测层拆分模块；CLI 与 FastAPI /ask 是平级进程边界，规则 router 与 LLM tool call 输出同构的 intent + 参数，229 项自动化测试可全量离线运行。</w:t>
      </w:r>
    </w:p>
    <w:p>
      <w:pPr>
        <w:keepNext w:val="0"/>
        <w:keepLines/>
        <w:widowControl/>
        <w:numPr>
          <w:ilvl w:val="0"/>
          <w:numId w:val="7"/>
        </w:numPr>
        <w:spacing w:before="0" w:after="28" w:line="240" w:lineRule="auto"/>
        <w:ind w:left="386" w:hanging="159"/>
      </w:pPr>
      <w:r>
        <w:rPr>
          <w:rFonts w:ascii="Tahoma" w:hAnsi="Tahoma" w:eastAsia="Microsoft YaHei" w:cs="Tahoma"/>
          <w:b w:val="0"/>
          <w:color w:val="000000"/>
          <w:sz w:val="20"/>
        </w:rPr>
        <w:t>为 function calling 实现防御式解析：未调用工具、幻觉工具名和非法 JSON 都收敛为显式 unknown；不猜缺失参数，API 失败也不静默回退规则 router，以免把错误结果混入评测。</w:t>
      </w:r>
    </w:p>
    <w:p>
      <w:pPr>
        <w:keepNext w:val="0"/>
        <w:keepLines/>
        <w:widowControl/>
        <w:numPr>
          <w:ilvl w:val="0"/>
          <w:numId w:val="7"/>
        </w:numPr>
        <w:spacing w:before="0" w:after="28" w:line="240" w:lineRule="auto"/>
        <w:ind w:left="386" w:hanging="159"/>
      </w:pPr>
      <w:r>
        <w:rPr>
          <w:rFonts w:ascii="Tahoma" w:hAnsi="Tahoma" w:eastAsia="Microsoft YaHei" w:cs="Tahoma"/>
          <w:b w:val="0"/>
          <w:color w:val="000000"/>
          <w:sz w:val="20"/>
        </w:rPr>
        <w:t>自建 30 问五类中文评测集，规则 router 为 83.3%，LLM router 为 100%，同一模型移除 system prompt 后为 63.3%；报告同时注明题量 30、作者自建、单模型单次运行。</w:t>
      </w:r>
    </w:p>
    <w:p>
      <w:pPr>
        <w:keepNext w:val="0"/>
        <w:keepLines/>
        <w:widowControl/>
        <w:numPr>
          <w:ilvl w:val="0"/>
          <w:numId w:val="7"/>
        </w:numPr>
        <w:spacing w:before="0" w:after="28" w:line="240" w:lineRule="auto"/>
        <w:ind w:left="386" w:hanging="159"/>
      </w:pPr>
      <w:r>
        <w:rPr>
          <w:rFonts w:ascii="Tahoma" w:hAnsi="Tahoma" w:eastAsia="Microsoft YaHei" w:cs="Tahoma"/>
          <w:b w:val="0"/>
          <w:color w:val="000000"/>
          <w:sz w:val="20"/>
        </w:rPr>
        <w:t>使用 trace_id 串联 JSON Lines 事件，FastAPI 将缺少 API key 映射为 503；实现 IDF 加权词法 RAG，检索不到时不注入内容，未开启检索时 messages 与评测输入逐字节一致。</w:t>
      </w:r>
    </w:p>
    <w:p>
      <w:pPr>
        <w:keepNext/>
        <w:keepLines w:val="0"/>
        <w:widowControl/>
        <w:spacing w:before="60" w:after="20" w:line="240" w:lineRule="auto"/>
      </w:pPr>
      <w:r>
        <w:rPr>
          <w:rFonts w:ascii="Tahoma" w:hAnsi="Tahoma" w:eastAsia="Microsoft YaHei" w:cs="Tahoma"/>
          <w:b/>
          <w:color w:val="000000"/>
          <w:sz w:val="24"/>
        </w:rPr>
        <w:t>技术能力</w:t>
      </w:r>
    </w:p>
    <w:p>
      <w:pPr>
        <w:keepNext w:val="0"/>
        <w:keepLines/>
        <w:widowControl/>
        <w:spacing w:before="0" w:after="22" w:line="240" w:lineRule="auto"/>
      </w:pPr>
      <w:r>
        <w:rPr>
          <w:rFonts w:ascii="Tahoma" w:hAnsi="Tahoma" w:eastAsia="Microsoft YaHei" w:cs="Tahoma"/>
          <w:b/>
          <w:color w:val="000000"/>
          <w:sz w:val="20"/>
        </w:rPr>
        <w:t>HPC 与并行计算：</w:t>
      </w:r>
      <w:r>
        <w:rPr>
          <w:rFonts w:ascii="Tahoma" w:hAnsi="Tahoma" w:eastAsia="Microsoft YaHei" w:cs="Tahoma"/>
          <w:b w:val="0"/>
          <w:color w:val="000000"/>
          <w:sz w:val="20"/>
        </w:rPr>
        <w:t>C/C++、Python；MPI、OpenMP、PETSc、Slurm；可设计 hybrid 配置矩阵并解释 strong/weak scaling、speedup 与 efficiency。</w:t>
      </w:r>
    </w:p>
    <w:p>
      <w:pPr>
        <w:keepNext w:val="0"/>
        <w:keepLines/>
        <w:widowControl/>
        <w:spacing w:before="0" w:after="22" w:line="240" w:lineRule="auto"/>
      </w:pPr>
      <w:r>
        <w:rPr>
          <w:rFonts w:ascii="Tahoma" w:hAnsi="Tahoma" w:eastAsia="Microsoft YaHei" w:cs="Tahoma"/>
          <w:b/>
          <w:color w:val="000000"/>
          <w:sz w:val="20"/>
        </w:rPr>
        <w:t>性能分析：</w:t>
      </w:r>
      <w:r>
        <w:rPr>
          <w:rFonts w:ascii="Tahoma" w:hAnsi="Tahoma" w:eastAsia="Microsoft YaHei" w:cs="Tahoma"/>
          <w:b w:val="0"/>
          <w:color w:val="000000"/>
          <w:sz w:val="20"/>
        </w:rPr>
        <w:t>PETSc -log_view、Linaro MAP；理解进程/线程开销、NUMA/CCX/L3 边界、cache locality、memory bandwidth 与 profiler overhead，区分性能模式和因果证据。</w:t>
      </w:r>
    </w:p>
    <w:p>
      <w:pPr>
        <w:keepNext w:val="0"/>
        <w:keepLines/>
        <w:widowControl/>
        <w:spacing w:before="0" w:after="22" w:line="240" w:lineRule="auto"/>
      </w:pPr>
      <w:r>
        <w:rPr>
          <w:rFonts w:ascii="Tahoma" w:hAnsi="Tahoma" w:eastAsia="Microsoft YaHei" w:cs="Tahoma"/>
          <w:b/>
          <w:color w:val="000000"/>
          <w:sz w:val="20"/>
        </w:rPr>
        <w:t>数据与工程：</w:t>
      </w:r>
      <w:r>
        <w:rPr>
          <w:rFonts w:ascii="Tahoma" w:hAnsi="Tahoma" w:eastAsia="Microsoft YaHei" w:cs="Tahoma"/>
          <w:b w:val="0"/>
          <w:color w:val="000000"/>
          <w:sz w:val="20"/>
        </w:rPr>
        <w:t>pandas、NumPy、Matplotlib、pytest、GitHub Actions；Linux、Bash、Git；能将 raw logs 转为审计、派生 CSV、图表和可复现报告。</w:t>
      </w:r>
    </w:p>
    <w:p>
      <w:pPr>
        <w:keepNext w:val="0"/>
        <w:keepLines/>
        <w:widowControl/>
        <w:spacing w:before="0" w:after="22" w:line="240" w:lineRule="auto"/>
      </w:pPr>
      <w:r>
        <w:rPr>
          <w:rFonts w:ascii="Tahoma" w:hAnsi="Tahoma" w:eastAsia="Microsoft YaHei" w:cs="Tahoma"/>
          <w:b/>
          <w:color w:val="000000"/>
          <w:sz w:val="20"/>
        </w:rPr>
        <w:t>AI Infrastructure：</w:t>
      </w:r>
      <w:r>
        <w:rPr>
          <w:rFonts w:ascii="Tahoma" w:hAnsi="Tahoma" w:eastAsia="Microsoft YaHei" w:cs="Tahoma"/>
          <w:b w:val="0"/>
          <w:color w:val="000000"/>
          <w:sz w:val="20"/>
        </w:rPr>
        <w:t>FastAPI、SQLite、OpenAI SDK；tool/function calling、结构化路由、防御式解析、依赖注入、离线评测、JSON Lines tracing 与词法 RAG。</w:t>
      </w:r>
    </w:p>
    <w:p>
      <w:pPr>
        <w:keepNext w:val="0"/>
        <w:keepLines/>
        <w:widowControl/>
        <w:spacing w:before="40" w:after="0" w:line="240" w:lineRule="auto"/>
      </w:pPr>
      <w:r>
        <w:rPr>
          <w:rFonts w:ascii="Tahoma" w:hAnsi="Tahoma" w:eastAsia="Microsoft YaHei" w:cs="Tahoma"/>
          <w:b/>
          <w:color w:val="000000"/>
          <w:sz w:val="20"/>
        </w:rPr>
        <w:t>论文发表：</w:t>
      </w:r>
      <w:r>
        <w:rPr>
          <w:rFonts w:ascii="Tahoma" w:hAnsi="Tahoma" w:eastAsia="Microsoft YaHei" w:cs="Tahoma"/>
          <w:b w:val="0"/>
          <w:color w:val="000000"/>
          <w:sz w:val="20"/>
        </w:rPr>
        <w:t>Li, Leyan. Convolutional Neural Networks Based Medical Image Analysis. EMITI 2024.</w:t>
      </w:r>
    </w:p>
    <w:sectPr w:rsidR="00784F5A" w:rsidRPr="000E3328" w:rsidSect="000E3328">
      <w:type w:val="continuous"/>
      <w:pgSz w:w="11906" w:h="16838"/>
      <w:pgMar w:top="567" w:right="652" w:bottom="567" w:left="652" w:header="170" w:footer="170" w:gutter="0"/>
      <w:cols w:space="425"/>
      <w:docGrid w:type="none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3FFB2" w14:textId="77777777" w:rsidR="00CB6C80" w:rsidRDefault="00CB6C80" w:rsidP="000E3328">
      <w:r>
        <w:separator/>
      </w:r>
    </w:p>
  </w:endnote>
  <w:endnote w:type="continuationSeparator" w:id="0">
    <w:p w14:paraId="66B3AE31" w14:textId="77777777" w:rsidR="00CB6C80" w:rsidRDefault="00CB6C80" w:rsidP="000E3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8874E" w14:textId="77777777" w:rsidR="00CB6C80" w:rsidRDefault="00CB6C80" w:rsidP="000E3328">
      <w:r>
        <w:separator/>
      </w:r>
    </w:p>
  </w:footnote>
  <w:footnote w:type="continuationSeparator" w:id="0">
    <w:p w14:paraId="02D339D1" w14:textId="77777777" w:rsidR="00CB6C80" w:rsidRDefault="00CB6C80" w:rsidP="000E3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9522A"/>
    <w:multiLevelType w:val="multilevel"/>
    <w:tmpl w:val="BF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C632B"/>
    <w:multiLevelType w:val="multilevel"/>
    <w:tmpl w:val="79E6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F051C"/>
    <w:multiLevelType w:val="multilevel"/>
    <w:tmpl w:val="701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F4D45"/>
    <w:multiLevelType w:val="multilevel"/>
    <w:tmpl w:val="2A9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13F11"/>
    <w:multiLevelType w:val="multilevel"/>
    <w:tmpl w:val="5A5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A798A"/>
    <w:multiLevelType w:val="multilevel"/>
    <w:tmpl w:val="E65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919F3"/>
    <w:multiLevelType w:val="multilevel"/>
    <w:tmpl w:val="8B3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53C81"/>
    <w:multiLevelType w:val="multilevel"/>
    <w:tmpl w:val="DDD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545436">
    <w:abstractNumId w:val="2"/>
  </w:num>
  <w:num w:numId="2" w16cid:durableId="1713528875">
    <w:abstractNumId w:val="6"/>
  </w:num>
  <w:num w:numId="3" w16cid:durableId="927277668">
    <w:abstractNumId w:val="1"/>
  </w:num>
  <w:num w:numId="4" w16cid:durableId="1934625943">
    <w:abstractNumId w:val="5"/>
  </w:num>
  <w:num w:numId="5" w16cid:durableId="635141830">
    <w:abstractNumId w:val="3"/>
  </w:num>
  <w:num w:numId="6" w16cid:durableId="515658977">
    <w:abstractNumId w:val="0"/>
  </w:num>
  <w:num w:numId="7" w16cid:durableId="587469709">
    <w:abstractNumId w:val="4"/>
  </w:num>
  <w:num w:numId="8" w16cid:durableId="4685218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A4"/>
    <w:rsid w:val="000E3328"/>
    <w:rsid w:val="001E3674"/>
    <w:rsid w:val="0048748D"/>
    <w:rsid w:val="006B6CA4"/>
    <w:rsid w:val="007560F2"/>
    <w:rsid w:val="00784F5A"/>
    <w:rsid w:val="007A276C"/>
    <w:rsid w:val="00832F4A"/>
    <w:rsid w:val="00864152"/>
    <w:rsid w:val="00892A80"/>
    <w:rsid w:val="00931C72"/>
    <w:rsid w:val="00C9011F"/>
    <w:rsid w:val="00CB6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1950DA"/>
  <w15:chartTrackingRefBased/>
  <w15:docId w15:val="{3335030C-6F6A-419C-9171-A35EA3A09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328"/>
    <w:pPr>
      <w:widowControl w:val="0"/>
      <w:spacing w:before="0" w:after="0" w:line="240" w:lineRule="auto"/>
      <w:jc w:val="both"/>
    </w:pPr>
    <w:rPr>
      <w:rFonts w:ascii="Tahoma" w:hAnsi="Tahoma" w:eastAsia="Microsoft YaHei"/>
      <w:sz w:val="20"/>
    </w:rPr>
  </w:style>
  <w:style w:type="paragraph" w:styleId="1">
    <w:name w:val="heading 1"/>
    <w:basedOn w:val="a"/>
    <w:next w:val="a"/>
    <w:link w:val="10"/>
    <w:uiPriority w:val="9"/>
    <w:qFormat/>
    <w:rsid w:val="006B6C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C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CA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CA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CA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C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C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C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CA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CA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CA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6CA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C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C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C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C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C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C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C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C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C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6CA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C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CA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B6CA4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33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33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33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3328"/>
    <w:rPr>
      <w:sz w:val="18"/>
      <w:szCs w:val="18"/>
    </w:rPr>
  </w:style>
  <w:style w:type="character" w:styleId="af2">
    <w:name w:val="Hyperlink"/>
    <w:basedOn w:val="a0"/>
    <w:uiPriority w:val="99"/>
    <w:unhideWhenUsed/>
    <w:rsid w:val="000E332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E3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7" Type="http://schemas.openxmlformats.org/officeDocument/2006/relationships/hyperlink" Target="mailto:3073751449@qq.com" TargetMode="External"/><Relationship Id="rId8" Type="http://schemas.openxmlformats.org/officeDocument/2006/relationships/hyperlink" Target="https://github.com/leyancode" TargetMode="External"/><Relationship Id="rId9" Type="http://schemas.openxmlformats.org/officeDocument/2006/relationships/hyperlink" Target="https://github.com/leyancode/hpc_benchmark_archer2" TargetMode="External"/><Relationship Id="rId10" Type="http://schemas.openxmlformats.org/officeDocument/2006/relationships/hyperlink" Target="https://github.com/leyancode/hpc-benchmark-agen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662</Words>
  <Characters>3780</Characters>
  <Application>Microsoft Office Word</Application>
  <DocSecurity>0</DocSecurity>
  <Lines>31</Lines>
  <Paragraphs>8</Paragraphs>
  <ScaleCrop>false</ScaleCrop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李乐岩 - HPC 与科学软件详细简历</dc:title>
  <dc:subject>PETSc MPI+OpenMP performance engineering on ARCHER2</dc:subject>
  <dc:creator>leyan li</dc:creator>
  <cp:keywords>HPC, PETSc, MPI, OpenMP, ARCHER2, performance engineering</cp:keywords>
  <dc:description/>
  <cp:lastModifiedBy>leyan li</cp:lastModifiedBy>
  <cp:revision>4</cp:revision>
  <dcterms:created xsi:type="dcterms:W3CDTF">2026-07-06T14:48:00Z</dcterms:created>
  <dcterms:modified xsi:type="dcterms:W3CDTF">2026-07-28T16:01:00Z</dcterms:modified>
</cp:coreProperties>
</file>