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作业调度与集群：</w:t>
      </w:r>
      <w:r>
        <w:rPr>
          <w:rFonts w:ascii="Tahoma" w:hAnsi="Tahoma" w:cs="Tahoma"/>
          <w:sz w:val="19"/>
          <w:szCs w:val="19"/>
        </w:rPr>
        <w:t xml:space="preserve">Slurm 作业提交、资源申请与满节点 placement 策略（--distribution、--hint=nomultithread、--exact）；用 lscpu / numactl / hwloc 核对节点内 NUMA 与 CCX 边界并验证线程绑定实际生效；有把整批实验参数化成提交脚本、并用 fake Slurm 在 CI 里跑通提交路径的经验。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FastAPI + Pydantic 的接口层与异常到 HTTP 语义的映射（依赖未就绪 503、参数非法 422）；trace_id 贯穿的 JSON Lines 结构化事件流与可回放执行链路；脱敏收敛在单一出口点并由扫描测试强制。了解 REST / HTTP、限流、幂等性；SQLite / MySQL 的索引与查询优化，了解 Redis 缓存场景与 TTL。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4,096 核规模的可审计 benchmark 实验管线（408 runs）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