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LEYAN LI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+44 7887 930137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Edinburgh, UK · open to relocation (UK / EU) · Right to work in the UK: Student visa (full-time work permitted post-course); applying for the 2-year Graduate Route — no sponsorship required.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PROFILE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MSc HPC &amp; Data Science graduate targeting Research Software Engineer roles. Designed and ran an audited PETSc scaling study on ARCHER2 (32 nodes / 4,096 cores, 408 runs), withdrew a flawed phase on evidence, and published the pipeline with sanitised logs, a SHA-256 manifest, pytest-pinned figures and fake-Slurm CI.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EDUCATION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Edinburgh</w:t>
      </w:r>
      <w:r>
        <w:rPr>
          <w:rFonts w:ascii="Tahoma" w:hAnsi="Tahoma" w:cs="Tahoma"/>
          <w:sz w:val="19"/>
          <w:szCs w:val="19"/>
        </w:rPr>
        <w:t xml:space="preserve"> — MSc High Performance Computing with Data Science | Sep 2025 – Dec 2026 (expected). Taught courses and dissertation completed Aug 2026 — </w:t>
      </w:r>
      <w:r>
        <w:rPr>
          <w:rFonts w:ascii="Tahoma" w:hAnsi="Tahoma" w:cs="Tahoma"/>
          <w:b/>
          <w:bCs/>
          <w:sz w:val="19"/>
          <w:szCs w:val="19"/>
        </w:rPr>
        <w:t xml:space="preserve">available immediately</w:t>
      </w:r>
      <w:r>
        <w:rPr>
          <w:rFonts w:ascii="Tahoma" w:hAnsi="Tahoma" w:cs="Tahoma"/>
          <w:sz w:val="19"/>
          <w:szCs w:val="19"/>
        </w:rPr>
        <w:t xml:space="preserve">; degree conferred Dec 2026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Liverpool</w:t>
      </w:r>
      <w:r>
        <w:rPr>
          <w:rFonts w:ascii="Tahoma" w:hAnsi="Tahoma" w:cs="Tahoma"/>
          <w:sz w:val="19"/>
          <w:szCs w:val="19"/>
        </w:rPr>
        <w:t xml:space="preserve"> / XJTLU — BSc Computer Science (2+2), </w:t>
      </w:r>
      <w:r>
        <w:rPr>
          <w:rFonts w:ascii="Tahoma" w:hAnsi="Tahoma" w:cs="Tahoma"/>
          <w:b/>
          <w:bCs/>
          <w:sz w:val="19"/>
          <w:szCs w:val="19"/>
        </w:rPr>
        <w:t xml:space="preserve">First-Class Honours</w:t>
      </w:r>
      <w:r>
        <w:rPr>
          <w:rFonts w:ascii="Tahoma" w:hAnsi="Tahoma" w:cs="Tahoma"/>
          <w:sz w:val="19"/>
          <w:szCs w:val="19"/>
        </w:rPr>
        <w:t xml:space="preserve"> | Sep 2021 – Jun 2025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Relevant coursework: </w:t>
      </w:r>
      <w:r>
        <w:rPr>
          <w:rFonts w:ascii="Tahoma" w:hAnsi="Tahoma" w:cs="Tahoma"/>
          <w:sz w:val="19"/>
          <w:szCs w:val="19"/>
        </w:rPr>
        <w:t xml:space="preserve">Message-Passing Programming (MPI), Threaded Programming (OpenMP), HPC Architectures, Performance Programming, GPU / Accelerator Programming, HPC Data Analytics, Machine Learning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TECHNICAL SKILLS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Languages: </w:t>
      </w:r>
      <w:r>
        <w:rPr>
          <w:rFonts w:ascii="Tahoma" w:hAnsi="Tahoma" w:cs="Tahoma"/>
          <w:sz w:val="19"/>
          <w:szCs w:val="19"/>
        </w:rPr>
        <w:t xml:space="preserve">C / C++, Python, Bash, 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Parallel &amp; performance: </w:t>
      </w:r>
      <w:r>
        <w:rPr>
          <w:rFonts w:ascii="Tahoma" w:hAnsi="Tahoma" w:cs="Tahoma"/>
          <w:sz w:val="19"/>
          <w:szCs w:val="19"/>
        </w:rPr>
        <w:t xml:space="preserve">MPI, OpenMP, hybrid MPI+OpenMP, PETSc, Slurm, numactl / hwloc, Linaro MAP; strong / weak scaling, saturation; collective cost (halo, allreduce); roofline / memory bandwidth; NUMA, thread affinity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Numerical methods: </w:t>
      </w:r>
      <w:r>
        <w:rPr>
          <w:rFonts w:ascii="Tahoma" w:hAnsi="Tahoma" w:cs="Tahoma"/>
          <w:sz w:val="19"/>
          <w:szCs w:val="19"/>
        </w:rPr>
        <w:t xml:space="preserve">PETSc KSP / PC (CG + GAMG, GMRES + block Jacobi / ICC); 2D / 3D stencils; iterations vs. per-iteration cost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Research software practice: </w:t>
      </w:r>
      <w:r>
        <w:rPr>
          <w:rFonts w:ascii="Tahoma" w:hAnsi="Tahoma" w:cs="Tahoma"/>
          <w:sz w:val="19"/>
          <w:szCs w:val="19"/>
        </w:rPr>
        <w:t xml:space="preserve">Linux, Git, pytest, GitHub Actions CI; reproducible pipelines from Slurm submission to audited logs and regression-tested figures; data sanitisation and provenance (SHA-256 manifests); Docker, Spack (working knowledge)</w:t>
      </w:r>
    </w:p>
    <w:p>
      <w:pPr>
        <w:rPr>
          <w:sz w:val="12"/>
        </w:rPr>
      </w:pP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PROJECTS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Audited PETSc Hybrid MPI+OpenMP Scaling Study on ARCHER2 (32 nodes / 4,096 cores, 408 runs)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C · PETSc · MPI · OpenMP · Slurm · Linaro MAP · Python / pandas · CI  </w:t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On ARCHER2, the UK national supercomputer (dual-socket AMD EPYC 7742, 128 cores/node, Slingshot): with total core count fixed, how should work split between MPI ranks and OpenMP threads per rank? Workload: 2D/3D stencil with CG+GAMG, 5M–165M unknowns, four full-node layouts from 128×1 (flat MPI) to 16×8.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Layout selection: </w:t>
      </w:r>
      <w:r>
        <w:rPr>
          <w:rFonts w:ascii="Tahoma" w:hAnsi="Tahoma" w:cs="Tahoma"/>
          <w:sz w:val="19"/>
          <w:szCs w:val="19"/>
        </w:rPr>
        <w:t xml:space="preserve">In 2D weak scaling, 64×2 beat flat MPI by 13.1% (794.8M equations/s at 165M unknowns on 32 nodes); fixed-20M strong scaling reached 29.83× speedup at 93.2% cumulative efficiency. In 3D the optimum moved to 32×4 (up to +33.2%) and 16×8 (3.81× faster than flat MPI): the best degree of parallelism shifts with dimension, size and per-core work — there is no single “optimal thread count”.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Root-cause attribution: </w:t>
      </w:r>
      <w:r>
        <w:rPr>
          <w:rFonts w:ascii="Tahoma" w:hAnsi="Tahoma" w:cs="Tahoma"/>
          <w:sz w:val="19"/>
          <w:szCs w:val="19"/>
        </w:rPr>
        <w:t xml:space="preserve">Linaro MAP explained the ranking as the crossing of two curves — as threads per rank rose, the MPI share of the solve window fell 46.7% → 6.2% while OpenMP wait rose 48.3% → 76.5%: communication exposure traded against thread idling. Ruled out threaded BLAS (LibSci ≤ 2.1% of solve-window core-time); as instrumentation perturbs runtime, the profile only ranked layouts and was never mixed with uninstrumented timings.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Additive metric of my own: </w:t>
      </w:r>
      <w:r>
        <w:rPr>
          <w:rFonts w:ascii="Tahoma" w:hAnsi="Tahoma" w:cs="Tahoma"/>
          <w:sz w:val="19"/>
          <w:szCs w:val="19"/>
        </w:rPr>
        <w:t xml:space="preserve">Defined a “synchronisation exposure share” on PETSc -log_view: event nesting makes naive leaf-event sums reach 116–372% of KSPSolve, but halo exchange and global reductions sit on disjoint call paths, so their sum is the one legitimate metric. Zero instrumentation overhead, covers all 264 weak-scaling runs; at 32 nodes it falls from 48.2% for flat MPI to 26.4% for 16×8.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Trustworthiness gate and publishable evidence chain: </w:t>
      </w:r>
      <w:r>
        <w:rPr>
          <w:rFonts w:ascii="Tahoma" w:hAnsi="Tahoma" w:cs="Tahoma"/>
          <w:sz w:val="19"/>
          <w:szCs w:val="19"/>
        </w:rPr>
        <w:t xml:space="preserve">An audit found 302 of 303 launcher-era logs whose actual MPI process count disagreed with the filename; I discarded that phase and made “parse counts from log content, not filenames” a hard check at the analysis entry point. Every accepted log passes six content checks (architecture, actual ranks × threads, convergence, timed-stage event count, linked library, solver signature); failures stay “superseded”, never in a median. Five representative logs are published de-identified by script with a SHA-256 manifest; 16 analysis scripts are pytest-pinned and CI runs them plus the Slurm scripts against a fake Slurm.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Agent-Based Performance Analysis System over the Benchmark Data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Python · SQLite · FastAPI · Pydantic · OpenAI SDK (function calling) · pytest  </w:t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Structured the benchmark data above into SQLite and wrapped each analysis task as a deterministic tool: the LLM only decides which tool to call and with what arguments, while every number comes from deterministic code — turning agent correctness into something measurable.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Measurable routing: </w:t>
      </w:r>
      <w:r>
        <w:rPr>
          <w:rFonts w:ascii="Tahoma" w:hAnsi="Tahoma" w:cs="Tahoma"/>
          <w:sz w:val="19"/>
          <w:szCs w:val="19"/>
        </w:rPr>
        <w:t xml:space="preserve">Built a rule-based router as a verifiable baseline, output-isomorphic with the LLM function-calling router (intent + arguments), so both score on one self-built 30-question, five-category set — 83.3% for rules, 100% for the LLM. Ablation: the same model scores 63.3% without the system prompt, so accuracy is driven by tool documentation and policy prompt, not the model.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Defensive parsing and engineering: </w:t>
      </w:r>
      <w:r>
        <w:rPr>
          <w:rFonts w:ascii="Tahoma" w:hAnsi="Tahoma" w:cs="Tahoma"/>
          <w:sz w:val="19"/>
          <w:szCs w:val="19"/>
        </w:rPr>
        <w:t xml:space="preserve">Collapsed three failure modes — no tool call, hallucinated tool name, malformed JSON arguments — into an explicit unknown rather than guessing, so the system never returns a silently wrong number. A trace_id-threaded JSON Lines event stream replays any execution; FastAPI POST /ask maps an invalid router to 422 and a missing key to 503. 229 automated tests run fully offline.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Value Factorisation in Multi-Agent Actor-Critic Methods (BSc dissertation)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Python · PyTorch · PyMARL · MAPPO / VDN / QMIX · PettingZoo  </w:t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Counter-intuitive result and root cause: </w:t>
      </w:r>
      <w:r>
        <w:rPr>
          <w:rFonts w:ascii="Tahoma" w:hAnsi="Tahoma" w:cs="Tahoma"/>
          <w:sz w:val="19"/>
          <w:szCs w:val="19"/>
        </w:rPr>
        <w:t xml:space="preserve">Single-variable comparison of VDN additive and QMIX monotonic critics inside MAPPO (shared runner, buffer, actor, PPO hyperparameters). The more expressive critic did not win: on sparse-reward Predator-Prey (300k steps) only the additive critic reached positive return (≈150); QMIX's critic loss opened at 5.4×10⁴ and diverged again. Root cause: the inherited value-based target max_a Qᵢ against an on-policy actor makes td_error systematically optimistic.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Publication: 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