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PyTorch、NumPy、pandas、Matplotlib；实现过多智能体 actor-critic 训练流程并诊断过训练不收敛的根因；LLM function calling / tool schema 设计、离线评测集构建与消融实验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后端与服务化：</w:t>
      </w:r>
      <w:r>
        <w:rPr>
          <w:rFonts w:ascii="Tahoma" w:hAnsi="Tahoma" w:cs="Tahoma"/>
          <w:sz w:val="19"/>
          <w:szCs w:val="19"/>
        </w:rPr>
        <w:t xml:space="preserve">FastAPI + Pydantic、SQLite / MySQL（索引、事务与查询优化）、REST / HTTP、JSON Lines 结构化日志；异常到 HTTP 语义的映射（依赖未就绪 503、参数非法 422）；了解限流、幂等性、Redis 缓存场景与 TTL、Docker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CI；习惯把工作做成可复现管线：参数化脚本 → 基于内容的输入校验 → 聚合与回归测试，把关键数值锁进测试以防结论漂移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 ARCHER2 超算上 PETSc benchmark 数据的 Agent 式性能分析系统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把英国国家超算 ARCHER2 上真实的 PETSc benchmark 结果结构化为 SQLite，把性能分析任务封装为确定性工具：让 LLM 只负责「选哪个工具、参数是什么」，数值一律由确定性代码算，从而让 Agent 的正确性变成可评测量。中文规则 router 作为可验证 baseline，与 LLM function calling router 共用同一套自建 30 问中文评测集打分——规则 83.3%、LLM 100%。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规则已知会错的对抗题），期望值是 tool call 而非答案文本，harness 对 router 实现无知；消融显示同一模型去掉 system prompt 只有 63.3%——准确率主要由工具说明书与策略 prompt 决定，而非模型本身。报告如实标注局限：题量 30、单模型、单次运行、出题人即作者。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核规模的 PETSc 布局对照实验——上一项目的数据来源与可信度基线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ARCHER2（双路 AMD EPYC 7742、128 核/节点，Slingshot 互连）上研究一个受约束的配置问题：总核数固定时，如何在 MPI rank 数与每 rank 的 OpenMP 线程数之间切分——这两个值在真实作业里几乎都由提交脚本的默认值决定，很少有人量过默认值的代价。负载为 2D/3D stencil + CG+GAMG，5M–165M unknowns，四种满节点布局（128×1 / 64×2 / 32×4 / 16×8）。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研究口径与自建指标：</w:t>
      </w:r>
      <w:r>
        <w:rPr>
          <w:rFonts w:ascii="Tahoma" w:hAnsi="Tahoma" w:cs="Tahoma"/>
          <w:sz w:val="19"/>
          <w:szCs w:val="19"/>
        </w:rPr>
        <w:t xml:space="preserve">规模推到 32 节点 / 4,096 核才看得到饱和点。测量用两个后端：Linaro MAP 会扰动运行时间，只用于读布局间的占比排序；PETSc -log_view 零插桩、覆盖全部 264 个 weak-scaling run，在它上面自建了可累加的「同步暴露占比」——事件嵌套使叶子事件直接相加会达到 KSPSolve 的 116–372%，而 halo 交换与全局归约位于互不相交的调用路径，二者之和才是合法指标。该占比在 32 节点上从 flat MPI 的 48.2% 降到 16×8 的 26.4%，使「布局为什么更快」成为可逐点度量的量，而不是事后解释。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steps）上最简单的加性分解唯一学到正回报（≈150），单体 critic 始终为负，QMIX 的 critic loss 起手即 5.4×10⁴、200k 步后二次发散。根因是 MAPPO-QMIX 的 TD 目标沿用 value-based 的 max_a Qᵢ（贪婪动作）而 actor 是 on-policy，相减得到的 td_error 并非合法 advantage 而是系统性偏乐观的量；非单调 mixer 的持续梯度爆炸作为负结果如实写进论文。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