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96F9102">
      <w:pPr>
        <w:ind w:left="4200" w:firstLine="420"/>
        <w:jc w:val="both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eastAsia="等线" w:cs="Tahoma" w:eastAsiaTheme="minorEastAsia"/>
            <w:b/>
            <w:bCs/>
            <w:kern w:val="2"/>
            <w:sz w:val="28"/>
            <w:szCs w:val="28"/>
          </w:rPr>
          <w:t>李乐岩</w:t>
        </w:r>
      </w:hyperlink>
    </w:p>
    <w:p w14:paraId="56778555">
      <w:pPr>
        <w:jc w:val="both"/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eastAsia="等线" w:cs="Tahoma" w:eastAsiaTheme="minorEastAsia"/>
            <w:kern w:val="2"/>
            <w:sz w:val="19"/>
            <w:szCs w:val="19"/>
          </w:rPr>
          <w:t>leyanpower@gmail.com</w:t>
        </w:r>
      </w:hyperlink>
      <w:r>
        <w:rPr>
          <w:rFonts w:ascii="Tahoma" w:hAnsi="Tahoma" w:eastAsia="等线" w:cs="Tahoma" w:eastAsiaTheme="minorEastAsia"/>
          <w:kern w:val="2"/>
          <w:sz w:val="19"/>
          <w:szCs w:val="19"/>
        </w:rPr>
        <w:t xml:space="preserve"> | </w:t>
      </w:r>
      <w:hyperlink r:id="rId97">
        <w:r>
          <w:rPr>
            <w:rFonts w:ascii="Tahoma" w:hAnsi="Tahoma" w:eastAsia="等线" w:cs="Tahoma" w:eastAsiaTheme="minorEastAsia"/>
            <w:kern w:val="2"/>
            <w:sz w:val="19"/>
            <w:szCs w:val="19"/>
          </w:rPr>
          <w:t>3073751449@qq.com</w:t>
        </w:r>
      </w:hyperlink>
      <w:r>
        <w:rPr>
          <w:rFonts w:ascii="Tahoma" w:hAnsi="Tahoma" w:eastAsia="等线" w:cs="Tahoma" w:eastAsiaTheme="minorEastAsia"/>
          <w:kern w:val="2"/>
          <w:sz w:val="19"/>
          <w:szCs w:val="19"/>
        </w:rPr>
        <w:t xml:space="preserve"> | +86 18805506898 | </w:t>
      </w:r>
      <w:hyperlink r:id="rId92">
        <w:r>
          <w:rPr>
            <w:rFonts w:ascii="Tahoma" w:hAnsi="Tahoma" w:eastAsia="等线" w:cs="Tahoma" w:eastAsiaTheme="minorEastAsia"/>
            <w:kern w:val="2"/>
            <w:sz w:val="19"/>
            <w:szCs w:val="19"/>
          </w:rPr>
          <w:t>github.com/lionleepower</w:t>
        </w:r>
      </w:hyperlink>
      <w:r>
        <w:rPr>
          <w:rFonts w:ascii="Tahoma" w:hAnsi="Tahoma" w:eastAsia="等线" w:cs="Tahoma" w:eastAsiaTheme="minorEastAsia"/>
          <w:kern w:val="2"/>
          <w:sz w:val="19"/>
          <w:szCs w:val="19"/>
        </w:rPr>
        <w:t xml:space="preserve"> | </w:t>
      </w:r>
      <w:hyperlink r:id="rId90">
        <w:r>
          <w:rPr>
            <w:rFonts w:ascii="Tahoma" w:hAnsi="Tahoma" w:eastAsia="等线" w:cs="Tahoma" w:eastAsiaTheme="minorEastAsia"/>
            <w:kern w:val="2"/>
            <w:sz w:val="19"/>
            <w:szCs w:val="19"/>
          </w:rPr>
          <w:t>leyan-li.com</w:t>
        </w:r>
      </w:hyperlink>
    </w:p>
    <w:p w14:paraId="6E6BBDB9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kern w:val="2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高性能计算与数据科学 硕士</w:t>
      </w:r>
    </w:p>
    <w:p w14:paraId="1F913B30">
      <w:pPr>
        <w:pBdr>
          <w:bottom w:val="single" w:sz="6" w:space="1" w:color="auto"/>
        </w:pBd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kern w:val="2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计算机科学 本科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，一等荣誉学位</w:t>
      </w:r>
    </w:p>
    <w:p w14:paraId="110C27C1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eastAsia="等线" w:cs="Tahoma" w:eastAsiaTheme="minorEastAsia"/>
          <w:b/>
          <w:bCs/>
          <w:kern w:val="2"/>
          <w:sz w:val="24"/>
          <w:szCs w:val="24"/>
        </w:rPr>
        <w:t>技术能力</w:t>
      </w:r>
    </w:p>
    <w:p w14:paraId="319C237B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编程语言：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C / C++、Python、Bash、SQL</w:t>
      </w:r>
    </w:p>
    <w:p w14:paraId="39EDD4AE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深度学习与大模型：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PyTorch、NumPy、pandas、Matplotlib；实现过多智能体 actor-critic 训练流程并诊断过训练不收敛的根因；LLM function calling / tool schema 设计、离线评测集构建与消融实验, RAG, context上下文压缩，并行处理，了解</w:t>
      </w:r>
      <w:r>
        <w:rPr>
          <w:rFonts w:ascii="ui-sans-serif" w:cs="ui-sans-serif"/>
          <w:sz w:val="20"/>
          <w:szCs w:val="20"/>
        </w:rPr>
        <w:t>LangChain等常用框架</w:t>
      </w:r>
    </w:p>
    <w:p w14:paraId="077668FA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后端与服务化：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FastAPI + Pydantic、SQLite / MySQL（索引、事务与查询优化）、REST / HTTP、JSON Lines 结构化日志；异常到 HTTP 语义的映射（依赖未就绪 503、参数非法 422）；了解限流、幂等性、Redis 缓存场景与 TTL、Docker</w:t>
      </w:r>
    </w:p>
    <w:p w14:paraId="0EEC9E93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工程与工具链：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Linux、Git、pytest、GitHub Actions CI；习惯把工作做成可复现管线：参数化脚本 → 基于内容的输入校验 → 聚合与回归测试，把关键数值锁进测试以防结论漂移</w:t>
      </w:r>
    </w:p>
    <w:p w14:paraId="226E4AC5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并行与分布式：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 w14:paraId="5E368955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eastAsia="等线" w:cs="Tahoma" w:eastAsiaTheme="minorEastAsia"/>
          <w:b/>
          <w:bCs/>
          <w:kern w:val="2"/>
          <w:sz w:val="24"/>
          <w:szCs w:val="24"/>
        </w:rPr>
        <w:t>项目经历</w:t>
      </w:r>
    </w:p>
    <w:p w14:paraId="5F0FBD36">
      <w:pPr>
        <w:tabs>
          <w:tab w:val="right" w:pos="11338"/>
        </w:tabs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eastAsia="等线" w:cs="Tahoma" w:eastAsiaTheme="minorEastAsia"/>
          <w:b/>
          <w:bCs/>
          <w:kern w:val="2"/>
          <w:sz w:val="20"/>
          <w:szCs w:val="20"/>
        </w:rPr>
        <w:t>面向 ARCHER2 超算上 PETSc benchmark 数据的 Agent 式性能分析系统</w:t>
      </w:r>
      <w:r>
        <w:tab/>
      </w:r>
      <w:hyperlink r:id="rId94">
        <w:r>
          <w:rPr>
            <w:rFonts w:ascii="Tahoma" w:hAnsi="Tahoma" w:eastAsia="等线" w:cs="Tahoma" w:eastAsiaTheme="minorEastAsia"/>
            <w:kern w:val="2"/>
            <w:sz w:val="20"/>
            <w:szCs w:val="20"/>
          </w:rPr>
          <w:t>lionleepower/HPC_Agent</w:t>
        </w:r>
      </w:hyperlink>
    </w:p>
    <w:p w14:paraId="1D880345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eastAsia="等线" w:cs="Tahoma" w:eastAsiaTheme="minorEastAsia"/>
          <w:kern w:val="2"/>
          <w:sz w:val="20"/>
          <w:szCs w:val="20"/>
        </w:rPr>
        <w:t xml:space="preserve">｜Python · SQLite · FastAPI · Pydantic · OpenAI SDK（function calling）· pytest </w:t>
      </w:r>
      <w:r>
        <w:rPr>
          <w:rFonts w:ascii="Tahoma" w:cs="Tahoma"/>
          <w:kern w:val="2"/>
          <w:sz w:val="20"/>
          <w:szCs w:val="20"/>
        </w:rPr>
        <w:t>· RAG</w:t>
      </w:r>
      <w:r>
        <w:t xml:space="preserve">  </w:t>
      </w:r>
    </w:p>
    <w:p w14:paraId="2ED91B9E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项目描述：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把英国国家超算 ARCHER2 上真实的 PETSc benchmark 结果结构化为 SQLite，把性能分析任务封装为确定性工具：让 LLM 只负责「选哪个工具、参数是什么」，数值一律由确定性代码算，从而让 Agent 的正确性变成可评测量。</w:t>
      </w:r>
    </w:p>
    <w:p w14:paraId="4BA26076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同构契约与分层：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两种 router 输出不同构就无法同尺比较；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规则 router 与 LLM tool call 输出严格同构（intent + 参数）；导入 / 指标 / 工具 / 检索 / 路由 / 可观测六层；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同一评测集打分，切换只改 dispatch</w:t>
      </w:r>
    </w:p>
    <w:p w14:paraId="297BAC15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防御式解析：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LLM 不调工具、编造工具名或返回非法 JSON 时猜参数即「静默算错」；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统一收敛为显式 unknown；unknowns 刻意可选，省略即「追问」、不调用即「拒答」；失败不回退规则 router；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错误只会显式暴露</w:t>
      </w:r>
    </w:p>
    <w:p w14:paraId="5808F9D2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评测与消融：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Agent 的「准确率」通常无从定义；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自建 30 问五类中文评测集（正常 / 追问 / 拒答 / 数字陷阱 / 对抗题），期望值是 tool call 而非答案文本；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规则 83.3%、LLM 100%；去掉 system prompt 同一模型只有 63.3%——准确率主要由工具说明书与策略 prompt 决定。局限如实标注：题量 30、单模型、单次运行、出题人即作者</w:t>
      </w:r>
    </w:p>
    <w:p w14:paraId="3E977E1F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可观测性：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出错不知在哪步；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trace_id 贯穿的 JSON Lines 事件流，每次 ask 落 5 个事件 ask_start / route_result / tool_call / tool_result / answer，脱敏单一出口、测试强制；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错误可回放到具体调用</w:t>
      </w:r>
    </w:p>
    <w:p w14:paraId="66047FFE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自动化测试覆盖异常边界：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测试若需要 API key 就进不了 CI；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LLM 客户端依赖注入为 FakeLLM；229 项测试按层钉死，三类 LLM 异常各有用例，HTTP 非法 router 422、缺 key 503；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全量离线、无需 key，CI 每次 push 复跑</w:t>
      </w:r>
    </w:p>
    <w:p w14:paraId="5D3E952B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词法检索而非向量检索（最小 RAG）：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加检索不能动评测口径，也不想引入 embedding 模型与向量库；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IDF 加权词重叠、纯标准库；无命中即不注入，未开启时 messages 与评测时逐字节一致、测试锁死；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离线、确定性、每条命中可按 idf 分数解释，代价（同义改写检索不到）已写明</w:t>
      </w:r>
    </w:p>
    <w:p w14:paraId="38AE8E7F">
      <w:pPr>
        <w:jc w:val="both"/>
        <w:rPr>
          <w:sz w:val="12"/>
        </w:rPr>
      </w:pPr>
    </w:p>
    <w:p w14:paraId="7C6987BC">
      <w:pPr>
        <w:tabs>
          <w:tab w:val="right" w:pos="11338"/>
        </w:tabs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eastAsia="等线" w:cs="Tahoma" w:eastAsiaTheme="minorEastAsia"/>
          <w:b/>
          <w:bCs/>
          <w:kern w:val="2"/>
          <w:sz w:val="20"/>
          <w:szCs w:val="20"/>
        </w:rPr>
        <w:t>ARCHER2 超算上 4,096 核的 PETSc 布局对照实验——上一项目的数据来源</w:t>
      </w:r>
      <w:r>
        <w:tab/>
      </w:r>
      <w:hyperlink r:id="rId93">
        <w:r>
          <w:rPr>
            <w:rFonts w:ascii="Tahoma" w:hAnsi="Tahoma" w:eastAsia="等线" w:cs="Tahoma" w:eastAsiaTheme="minorEastAsia"/>
            <w:kern w:val="2"/>
            <w:sz w:val="20"/>
            <w:szCs w:val="20"/>
          </w:rPr>
          <w:t>lionleepower/HPC_PETSC_Benchmark</w:t>
        </w:r>
      </w:hyperlink>
    </w:p>
    <w:p w14:paraId="68979BC8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eastAsia="等线" w:cs="Tahoma" w:eastAsiaTheme="minorEastAsia"/>
          <w:kern w:val="2"/>
          <w:sz w:val="20"/>
          <w:szCs w:val="20"/>
        </w:rPr>
        <w:t>｜C · PETSc · MPI · OpenMP · Slurm · Linaro MAP · Python / pandas · GitHub Actions</w:t>
      </w:r>
    </w:p>
    <w:p w14:paraId="2D4BCE7D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项目描述：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在英国国家超算 ARCHER2（双路 AMD EPYC 7742、128 核/节点，Slingshot 互连）上，对 2D/3D stencil + CG+GAMG、5M–165M unknowns 的 PETSc 负载比较四种满节点 MPI×OpenMP 布局（128×1 / 64×2 / 32×4 / 16×8）。</w:t>
      </w:r>
    </w:p>
    <w:p w14:paraId="4B93B50D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自建可累加的同步指标：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-log_view 事件嵌套，叶子事件直接相加达 KSPSolve 的 116–372%，度量不了「为什么更快」；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halo 交换与全局归约在互不相交的调用路径上，只取二者之和定义「同步暴露占比」，零插桩覆盖 264 个 weak-scaling run；MAP 扰动运行时间、只读占比排序；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32 节点上 flat MPI 48.2% → 16×8 26.4%，机理可逐点度量</w:t>
      </w:r>
    </w:p>
    <w:p w14:paraId="40D667CC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布局结论：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rank 数与线程数的切分几乎都由提交脚本默认值决定，没人量过默认值的代价；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weak / fixed-20M strong scaling 上四种满节点布局逐点对照，MAP 定位机理；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2D weak 最佳 64×2（165M / 32 节点 794.8M equations/s，比 flat MPI 高 13.1%），3D 最佳 32×4（最大增益 33.2%）；strong 2D 29.83× / 93.2% 累积效率，3D 16×8 比 flat MPI 快 3.81×；机理是 MPI 通信暴露（46.7%→6.2%）与 OpenMP 空转（48.3%→76.5%）的交点</w:t>
      </w:r>
    </w:p>
    <w:p w14:paraId="25FED8A3">
      <w:pPr>
        <w:numPr>
          <w:ilvl w:val="0"/>
          <w:numId w:val="7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对算力成本的含义：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只改提交脚本的两个默认值、不改代码不加节点：同一作业的节点时在 2D weak 最大点少用 11.6%、3D 最佳点少用 24.9%，3D fixed-20M 32 节点上降到 flat MPI 的 26%；最佳布局随维度、规模与每核工作量改变，交付的是「先量再定默认值」的方法而非固定配置。</w:t>
      </w:r>
    </w:p>
    <w:p w14:paraId="3A1DF6AD">
      <w:pPr>
        <w:jc w:val="both"/>
        <w:rPr>
          <w:sz w:val="12"/>
        </w:rPr>
      </w:pPr>
    </w:p>
    <w:p w14:paraId="5A28E16B">
      <w:pPr>
        <w:tabs>
          <w:tab w:val="right" w:pos="11338"/>
        </w:tabs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eastAsia="等线" w:cs="Tahoma" w:eastAsiaTheme="minorEastAsia"/>
          <w:b/>
          <w:bCs/>
          <w:kern w:val="2"/>
          <w:sz w:val="20"/>
          <w:szCs w:val="20"/>
        </w:rPr>
        <w:t>多智能体 Actor-Critic 方法中的价值函数分解研究（本科毕业设计）</w:t>
      </w:r>
      <w:r>
        <w:tab/>
      </w:r>
      <w:hyperlink r:id="rId95">
        <w:r>
          <w:rPr>
            <w:rFonts w:ascii="Tahoma" w:hAnsi="Tahoma" w:eastAsia="等线" w:cs="Tahoma" w:eastAsiaTheme="minorEastAsia"/>
            <w:kern w:val="2"/>
            <w:sz w:val="20"/>
            <w:szCs w:val="20"/>
          </w:rPr>
          <w:t>lionleepower/MARL_VALUE_FACTORISATION</w:t>
        </w:r>
      </w:hyperlink>
    </w:p>
    <w:p w14:paraId="54CB8E86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eastAsia="等线" w:cs="Tahoma" w:eastAsiaTheme="minorEastAsia"/>
          <w:kern w:val="2"/>
          <w:sz w:val="20"/>
          <w:szCs w:val="20"/>
        </w:rPr>
        <w:t>｜Python · PyTorch · PyMARL · MAPPO · VDN · QMIX · CTDE · PPO · PettingZoo / MPE2</w:t>
      </w:r>
    </w:p>
    <w:p w14:paraId="61FE8ACD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项目描述：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在 MAPPO 的 critic 上分别接入 VDN 加性分解与 QMIX 单调 mixing 做单变量对照——三个变体共用同一套 runner / buffer / shared RNN actor 与全部 PPO 超参，差异只在 critic 分支。</w:t>
      </w:r>
    </w:p>
    <w:p w14:paraId="36A6BA24">
      <w:pPr>
        <w:numPr>
          <w:ilvl w:val="0"/>
          <w:numId w:val="8"/>
        </w:numPr>
        <w:ind w:left="720" w:hanging="360"/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反直觉结果的根因诊断：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难点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稀疏奖励的 Predator-Prey（300k steps）上表达能力更强的 critic 没有赢——加性分解唯一学到正回报（≈150），单体 critic 始终为负，QMIX 的 critic loss 起手即 5.4×10⁴、200k 步后二次发散；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做法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差异隔离到 TD 目标：MAPPO-QMIX 沿用 value-based 的 max_a Qᵢ 而 actor 是 on-policy，td_error 并非合法 advantage 而是系统性偏乐观；</w:t>
      </w: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 xml:space="preserve">效果 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解释了发散；非单调 mixer 的持续梯度爆炸作为负结果如实写进论文</w:t>
      </w:r>
    </w:p>
    <w:p w14:paraId="411F6DEA">
      <w:pPr>
        <w:jc w:val="both"/>
        <w:rPr>
          <w:rFonts w:ascii="Tahoma" w:hAnsi="Tahoma" w:cs="Tahoma"/>
          <w:sz w:val="19"/>
          <w:szCs w:val="19"/>
        </w:rPr>
      </w:pPr>
      <w:r>
        <w:rPr>
          <w:rFonts w:ascii="Tahoma" w:hAnsi="Tahoma" w:eastAsia="等线" w:cs="Tahoma" w:eastAsiaTheme="minorEastAsia"/>
          <w:b/>
          <w:bCs/>
          <w:kern w:val="2"/>
          <w:sz w:val="19"/>
          <w:szCs w:val="19"/>
        </w:rPr>
        <w:t>论文发表：</w:t>
      </w:r>
      <w:r>
        <w:rPr>
          <w:rFonts w:ascii="Tahoma" w:hAnsi="Tahoma" w:eastAsia="等线" w:cs="Tahoma" w:eastAsiaTheme="minorEastAsia"/>
          <w:kern w:val="2"/>
          <w:sz w:val="19"/>
          <w:szCs w:val="19"/>
        </w:rPr>
        <w:t>Li, Leyan. Convolutional Neural Networks Based Medical Image Analysis. International Conference on Engineering Management, Information Technology and Intelligence, EMITI 2024.</w:t>
      </w:r>
    </w:p>
    <w:sectPr>
      <w:pgSz w:w="11906" w:h="16838"/>
      <w:pgMar w:top="227" w:right="284" w:bottom="227" w:left="284" w:header="851" w:footer="992" w:gutter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>
      <w:r>
        <w:separator/>
      </w:r>
    </w:p>
  </w:endnote>
  <w:endnote w:type="continuationSeparator" w:id="0">
    <w:p w14:paraId="04B494D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>
      <w:r>
        <w:separator/>
      </w:r>
    </w:p>
  </w:footnote>
  <w:footnote w:type="continuationSeparator" w:id="0">
    <w:p w14:paraId="3CD1BBE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2026-09-16T09:48:10.191Z</dcterms:modified>
</cp:coreProperties>
</file>