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关联课业：</w:t>
      </w:r>
      <w:r>
        <w:rPr>
          <w:rFonts w:ascii="Tahoma" w:hAnsi="Tahoma" w:cs="Tahoma"/>
          <w:sz w:val="19"/>
          <w:szCs w:val="19"/>
        </w:rPr>
        <w:t xml:space="preserve">消息传递并行编程（MPI）、线程并行编程（OpenMP）、HPC 体系结构、性能编程与优化、GPU / 加速器编程、并行设计模式、高性能数据分析、机器学习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编程语言：</w:t>
      </w:r>
      <w:r>
        <w:rPr>
          <w:rFonts w:ascii="Tahoma" w:hAnsi="Tahoma" w:cs="Tahoma"/>
          <w:sz w:val="19"/>
          <w:szCs w:val="19"/>
        </w:rPr>
        <w:t xml:space="preserve">C / C++、Python、Bash、SQL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MPI+OpenMP、PETSc、Slurm、numactl / hwloc / lscpu；strong / weak scaling、parallel efficiency 与饱和点判定；halo exchange、CG global reduction（allreduce）等集合通信开销与 surface-to-volume ratio 对通信暴露的影响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profiling、STREAM 内存带宽基线、roofline / 访存墙估算；把开销拆成计算、通信、同步等待三类分别归因；从 NUMA / CCX / 共享 L3、memory bandwidth、线程绑定（OMP_PLACES、OMP_PROC_BIND）与负载均衡角度解释瓶颈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深度学习与大模型：</w:t>
      </w:r>
      <w:r>
        <w:rPr>
          <w:rFonts w:ascii="Tahoma" w:hAnsi="Tahoma" w:cs="Tahoma"/>
          <w:sz w:val="19"/>
          <w:szCs w:val="19"/>
        </w:rPr>
        <w:t xml:space="preserve">PyTorch、NumPy、pandas、Matplotlib；实现过多智能体 actor-critic 训练流程并诊断过训练不收敛的根因；LLM function calling / tool schema 设计、离线评测集构建与消融实验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GPU 与推理服务（课程与自学）：</w:t>
      </w:r>
      <w:r>
        <w:rPr>
          <w:rFonts w:ascii="Tahoma" w:hAnsi="Tahoma" w:cs="Tahoma"/>
          <w:sz w:val="19"/>
          <w:szCs w:val="19"/>
        </w:rPr>
        <w:t xml:space="preserve">CUDA 编程模型与 GPU 存储层次、NCCL 集合通信、数据并行 / 张量并行；推理服务的 batching 与吞吐-时延取舍、KV cache 与量化档位对每 token 访存量的影响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工程与工具链：</w:t>
      </w:r>
      <w:r>
        <w:rPr>
          <w:rFonts w:ascii="Tahoma" w:hAnsi="Tahoma" w:cs="Tahoma"/>
          <w:sz w:val="19"/>
          <w:szCs w:val="19"/>
        </w:rPr>
        <w:t xml:space="preserve">Linux、Git、pytest、GitHub Actions CI、FastAPI + Pydantic、SQLite / MySQL，了解 Docker；习惯把实验做成可复现管线：参数化提交脚本 → 基于内容的日志审计 → pandas 聚合 → 图表与回归测试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项目经历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超算上 4,096 核规模的并行布局选型与性能归因——通信暴露与线程空转的权衡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｜C · PETSc · MPI · OpenMP · Slurm · Linaro MAP · Python / pandas · GitHub Actions  </w:t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2D/3D stencil + CG+GAMG，5M–165M unknowns，比较四种满节点布局；正式结论只用 408 个通过内容审计的 run。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布局选型结论：</w:t>
      </w:r>
      <w:r>
        <w:rPr>
          <w:rFonts w:ascii="Tahoma" w:hAnsi="Tahoma" w:cs="Tahoma"/>
          <w:sz w:val="19"/>
          <w:szCs w:val="19"/>
        </w:rPr>
        <w:t xml:space="preserve">固定总核数扫描 128×1 / 64×2 / 32×4 / 16×8 四种满节点布局。2D weak scaling 上 64×2 在 11 个 size/node 点赢 8 个（165M unknowns / 32 节点 794.8M equations/s，比 flat MPI 高 13.1%），3D 上 32×4 最大增益 33.2%；fixed-20M strong scaling 上 2D 最快为 64×2（0.0277 s/solve、29.83× 加速、93.2% 累积效率），3D 最快为 16×8（比 flat MPI 快 3.81×）。最佳并行度随维度与规模改变，不存在单一「最优线程数」。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归因：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 降到 6.2%、OpenMP runtime 等待从 48.3% 升到 76.5%——布局排序即「通信暴露」与「线程空转」两条曲线的交点；同时排除 threaded BLAS 的解释（LibSci ≤ 2.1% solve-window core-time）。因插桩会不均匀扰动运行时间，只读布局之间的占比排序，绝不与未插桩的 scaling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自建的可累加指标：</w:t>
      </w:r>
      <w:r>
        <w:rPr>
          <w:rFonts w:ascii="Tahoma" w:hAnsi="Tahoma" w:cs="Tahoma"/>
          <w:sz w:val="19"/>
          <w:szCs w:val="19"/>
        </w:rPr>
        <w:t xml:space="preserve">在 PETSc -log_view 上定义「同步暴露占比」：事件嵌套使叶子事件直接相加会达到 KSPSolve 的 116–372%，而 halo 交换与全局归约位于互不相交的调用路径，二者之和才是合法指标；该指标零插桩、覆盖全部 264 个 weak-scaling run，在 32 节点上从 flat MPI 的 48.2% 降到 16×8 的 26.4%。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饱和点与收益递减：</w:t>
      </w:r>
      <w:r>
        <w:rPr>
          <w:rFonts w:ascii="Tahoma" w:hAnsi="Tahoma" w:cs="Tahoma"/>
          <w:sz w:val="19"/>
          <w:szCs w:val="19"/>
        </w:rPr>
        <w:t xml:space="preserve">各布局饱和点不同——128×1 在 8 节点后变慢，64×2 与 32×4 在 16 节点后变慢，16×8 到 32 节点仍在下降：每个计算单元的工作量降到一定程度后，更粗的进程粒度才开始有回报。这与固定 batch 继续扩机器时的收益递减、以及并行切分粒度的选型是同一类问题。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 303 份日志中有 302 份的实际 MPI process 数与文件名不符（文件名请求 2048 ranks，PETSc header 只报 32），据此废弃该阶段全部性能曲线，并把「从日志内容而非文件名解析 process / thread 数」写成分析入口的硬校验。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可审计管线与工程化：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 等六项检查才进聚合，未通过标为 superseded、永不混进中位数；Slurm 提交脚本参数化生成全部正式配置，16 个分析脚本配 pytest 锁死头条数值，GitHub Actions 跑公开数据测试并用 fake Slurm 执行提交路径。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SQLite · FastAPI · Pydantic · OpenAI SDK（function calling）· pytest  </w:t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与防御式解析：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刻意设为可选——省略参数即「追问」、不调用工具即「拒答」；未调用工具、幻觉工具名、arguments 非合法 JSON 三类异常统一收敛为显式 unknown，绝不猜参数，以避免「静默算错」；API 失败向上抛出而非回退规则 router，以免污染评测。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评测机制与消融结论：</w:t>
      </w:r>
      <w:r>
        <w:rPr>
          <w:rFonts w:ascii="Tahoma" w:hAnsi="Tahoma" w:cs="Tahoma"/>
          <w:sz w:val="19"/>
          <w:szCs w:val="19"/>
        </w:rPr>
        <w:t xml:space="preserve">自建 30 问五类中文评测集（正常 / 追问 / 拒答 / 数字陷阱 / 规则已知会错的对抗题），期望值是 tool call 而非答案文本，harness 对 router 实现无知；消融显示同一模型去掉 system prompt 只有 63.3%——准确率主要由工具说明书与策略 prompt 决定，而非模型本身。报告如实标注局限：题量 30、单模型、单次运行、出题人即作者。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服务化与可观测性：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500；最小 RAG 用 IDF 加权词法检索（纯标准库、刻意不用向量库），未开启时 messages 与评测时逐字节一致并由测试锁死，以保结论可比。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PyTorch · PyMARL · MAPPO · VDN · QMIX · CTDE · PPO · PettingZoo / MPE2  </w:t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